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7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1"/>
        <w:gridCol w:w="5599"/>
      </w:tblGrid>
      <w:tr>
        <w:tblPrEx/>
        <w:trPr>
          <w:cantSplit/>
          <w:jc w:val="center"/>
          <w:trHeight w:val="1136" w:hRule="exact"/>
        </w:trPr>
        <w:tc>
          <w:tcPr>
            <w:tcW w:w="4181" w:type="dxa"/>
            <w:textDirection w:val="lrTb"/>
            <w:noWrap w:val="false"/>
          </w:tcPr>
          <w:p>
            <w:pPr>
              <w:jc w:val="center"/>
              <w:spacing w:line="240" w:lineRule="atLeast"/>
              <w:tabs>
                <w:tab w:val="left" w:pos="1064" w:leader="none"/>
              </w:tabs>
              <w:rPr>
                <w:rFonts w:ascii="NTHarmonica" w:hAnsi="NTHarmonica"/>
                <w:b/>
                <w:spacing w:val="30"/>
                <w:sz w:val="30"/>
              </w:rPr>
            </w:pPr>
            <w:r/>
            <w:bookmarkStart w:id="0" w:name="_Hlk127963564"/>
            <w:r/>
            <w:r>
              <w:rPr>
                <w:rFonts w:ascii="NTHarmonica" w:hAnsi="NTHarmonica"/>
                <w:b/>
                <w:spacing w:val="30"/>
                <w:sz w:val="30"/>
              </w:rPr>
            </w:r>
          </w:p>
        </w:tc>
        <w:tc>
          <w:tcPr>
            <w:tcW w:w="5599" w:type="dxa"/>
            <w:textDirection w:val="lrTb"/>
            <w:noWrap w:val="false"/>
          </w:tcPr>
          <w:p>
            <w:pPr>
              <w:pStyle w:val="690"/>
              <w:ind w:left="65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звещение о проведении аукциона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право заключения договора аренды земельного участка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numPr>
          <w:ilvl w:val="0"/>
          <w:numId w:val="9"/>
        </w:numPr>
        <w:ind w:left="0" w:firstLine="0"/>
        <w:jc w:val="center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положения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Продавец)</w:t>
      </w:r>
      <w:r>
        <w:rPr>
          <w:rFonts w:ascii="Times New Roman" w:hAnsi="Times New Roman" w:cs="Times New Roman"/>
          <w:sz w:val="28"/>
          <w:szCs w:val="28"/>
        </w:rPr>
        <w:t xml:space="preserve"> объявляет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аукциона на право заключения договора аренды земельного участка в электронной форме, открытого по составу участников и открытого по форме подачи предложений о размере ежегодной арендной платы (далее – Процедура, аукцион).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numPr>
          <w:ilvl w:val="0"/>
          <w:numId w:val="9"/>
        </w:numPr>
        <w:ind w:left="0" w:firstLine="0"/>
        <w:jc w:val="center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аукционе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numPr>
          <w:ilvl w:val="1"/>
          <w:numId w:val="9"/>
        </w:numPr>
        <w:ind w:left="0" w:firstLine="709"/>
        <w:jc w:val="both"/>
        <w:spacing w:after="200" w:line="276" w:lineRule="auto"/>
        <w:tabs>
          <w:tab w:val="left" w:pos="993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проведения: Земельный кодекс Российской Федерации.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98"/>
        <w:numPr>
          <w:ilvl w:val="1"/>
          <w:numId w:val="9"/>
        </w:numPr>
        <w:ind w:left="0" w:firstLine="709"/>
        <w:jc w:val="both"/>
        <w:spacing w:after="200" w:line="276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Земельный участок относится к землям, собственность на которые не разграничена.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200" w:line="276" w:lineRule="auto"/>
        <w:tabs>
          <w:tab w:val="left" w:pos="709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2.3 Организатор аукциона</w:t>
      </w:r>
      <w:r>
        <w:rPr>
          <w:rFonts w:ascii="Times New Roman" w:hAnsi="Times New Roman" w:cs="Times New Roman"/>
          <w:sz w:val="28"/>
          <w:szCs w:val="28"/>
        </w:rPr>
        <w:t xml:space="preserve">: Администрация Добринского муниципального района.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Местонахождение: 399430, Липецкая область, Добринский район, п. Добринка, ул. М. Горького, д.5. Телефон для справок: 8(47467) 2-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Адрес электронной почты: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mail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0" w:tooltip="mailto:dobrinka@admlr.lipetsk.ru" w:history="1">
        <w:r>
          <w:rPr>
            <w:rStyle w:val="694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dobrinka@admlr.lipetsk.ru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Контактное лицо: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Чернова Ольга Игорьевна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r>
    </w:p>
    <w:p>
      <w:pPr>
        <w:pStyle w:val="698"/>
        <w:numPr>
          <w:ilvl w:val="1"/>
          <w:numId w:val="9"/>
        </w:numPr>
        <w:ind w:left="0" w:right="57" w:firstLine="709"/>
        <w:jc w:val="both"/>
        <w:spacing w:after="200" w:line="264" w:lineRule="auto"/>
        <w:tabs>
          <w:tab w:val="left" w:pos="0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Аукцион проводится в электронной форме, открытый по составу участников и форме подачи предложений о цене размера ежегодной арендной платы.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ind w:left="0" w:right="57" w:firstLine="709"/>
        <w:jc w:val="both"/>
        <w:spacing w:line="264" w:lineRule="auto"/>
        <w:tabs>
          <w:tab w:val="left" w:pos="0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numPr>
          <w:ilvl w:val="0"/>
          <w:numId w:val="9"/>
        </w:numPr>
        <w:ind w:left="0" w:firstLine="709"/>
        <w:jc w:val="center"/>
        <w:spacing w:after="200" w:line="276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предмете аукциона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3"/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Лот № 1</w:t>
      </w:r>
      <w:r>
        <w:rPr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земельный участок с кадастровым номером: 48:04:06002</w:t>
      </w:r>
      <w:r>
        <w:rPr>
          <w:rFonts w:ascii="Times New Roman" w:hAnsi="Times New Roman" w:cs="Times New Roman"/>
          <w:sz w:val="28"/>
          <w:szCs w:val="28"/>
        </w:rPr>
        <w:t xml:space="preserve">15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246</w:t>
      </w:r>
      <w:r>
        <w:rPr>
          <w:rFonts w:ascii="Times New Roman" w:hAnsi="Times New Roman" w:cs="Times New Roman"/>
          <w:sz w:val="28"/>
          <w:szCs w:val="28"/>
        </w:rPr>
        <w:t xml:space="preserve">, из земли населенных пунктов, разрешенное использование: </w:t>
      </w:r>
      <w:r>
        <w:rPr>
          <w:rFonts w:ascii="Times New Roman" w:hAnsi="Times New Roman" w:cs="Times New Roman"/>
          <w:sz w:val="28"/>
          <w:szCs w:val="28"/>
        </w:rPr>
        <w:t xml:space="preserve">объекты гаражного назначения</w:t>
      </w:r>
      <w:r>
        <w:rPr>
          <w:rFonts w:ascii="Times New Roman" w:hAnsi="Times New Roman" w:cs="Times New Roman"/>
          <w:sz w:val="28"/>
          <w:szCs w:val="28"/>
        </w:rPr>
        <w:t xml:space="preserve">, общей площадью </w:t>
      </w:r>
      <w:r>
        <w:rPr>
          <w:rFonts w:ascii="Times New Roman" w:hAnsi="Times New Roman" w:cs="Times New Roman"/>
          <w:sz w:val="28"/>
          <w:szCs w:val="28"/>
        </w:rPr>
        <w:t xml:space="preserve">78</w:t>
      </w:r>
      <w:r>
        <w:rPr>
          <w:rFonts w:ascii="Times New Roman" w:hAnsi="Times New Roman" w:cs="Times New Roman"/>
          <w:sz w:val="28"/>
          <w:szCs w:val="28"/>
        </w:rPr>
        <w:t xml:space="preserve"> кв. м., расположенный по адресу: Российская Федерация, Липецкая область, Добринский муниципальный район, сельское поселение Добринский сельсовет, п. Добринка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действия договора аренды: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0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4"/>
        <w:ind w:firstLine="709"/>
        <w:spacing w:before="0" w:beforeAutospacing="0" w:after="0"/>
        <w:rPr>
          <w:color w:val="auto"/>
        </w:rPr>
      </w:pPr>
      <w:r>
        <w:rPr>
          <w:color w:val="auto"/>
        </w:rPr>
        <w:t xml:space="preserve">Ограничения прав </w:t>
      </w:r>
      <w:r>
        <w:rPr>
          <w:color w:val="auto"/>
        </w:rPr>
        <w:t xml:space="preserve">на земельный участок: Информация об ограничениях прав на земельный участок отсутствует. Согласно данным портала пространственных данных Национальной системы пространственных данных, раздела «Публичная кадастровая карта» (</w:t>
      </w:r>
      <w:hyperlink r:id="rId11" w:tooltip="https://nspd.gov.ru" w:history="1">
        <w:r>
          <w:rPr>
            <w:rStyle w:val="694"/>
            <w:lang w:val="en-US"/>
          </w:rPr>
          <w:t xml:space="preserve">https</w:t>
        </w:r>
        <w:r>
          <w:rPr>
            <w:rStyle w:val="694"/>
          </w:rPr>
          <w:t xml:space="preserve">://</w:t>
        </w:r>
        <w:r>
          <w:rPr>
            <w:rStyle w:val="694"/>
            <w:lang w:val="en-US"/>
          </w:rPr>
          <w:t xml:space="preserve">nspd</w:t>
        </w:r>
        <w:r>
          <w:rPr>
            <w:rStyle w:val="694"/>
          </w:rPr>
          <w:t xml:space="preserve">.</w:t>
        </w:r>
        <w:r>
          <w:rPr>
            <w:rStyle w:val="694"/>
            <w:lang w:val="en-US"/>
          </w:rPr>
          <w:t xml:space="preserve">gov</w:t>
        </w:r>
        <w:r>
          <w:rPr>
            <w:rStyle w:val="694"/>
          </w:rPr>
          <w:t xml:space="preserve">.</w:t>
        </w:r>
        <w:r>
          <w:rPr>
            <w:rStyle w:val="694"/>
            <w:lang w:val="en-US"/>
          </w:rPr>
          <w:t xml:space="preserve">ru</w:t>
        </w:r>
      </w:hyperlink>
      <w:r>
        <w:rPr>
          <w:color w:val="auto"/>
        </w:rPr>
        <w:t xml:space="preserve">)</w:t>
      </w:r>
      <w:r>
        <w:rPr>
          <w:color w:val="auto"/>
        </w:rPr>
        <w:t xml:space="preserve">, сведения по </w:t>
      </w:r>
      <w:r>
        <w:rPr>
          <w:color w:val="auto"/>
        </w:rPr>
        <w:t xml:space="preserve">ограничению прав не найдены (выписка из ЕГРН прилагается к настоящему извещению).</w:t>
      </w:r>
      <w:r>
        <w:rPr>
          <w:color w:val="auto"/>
        </w:rPr>
      </w:r>
    </w:p>
    <w:p>
      <w:pPr>
        <w:pStyle w:val="704"/>
        <w:ind w:firstLine="709"/>
        <w:spacing w:before="0" w:beforeAutospacing="0" w:after="0"/>
        <w:rPr>
          <w:color w:val="auto"/>
        </w:rPr>
      </w:pPr>
      <w:r>
        <w:rPr>
          <w:color w:val="auto"/>
        </w:rPr>
      </w:r>
      <w:r>
        <w:rPr>
          <w:color w:val="auto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цена предмета аукциона – 4</w:t>
      </w:r>
      <w:r>
        <w:rPr>
          <w:rFonts w:ascii="Times New Roman" w:hAnsi="Times New Roman" w:cs="Times New Roman"/>
          <w:sz w:val="28"/>
          <w:szCs w:val="28"/>
        </w:rPr>
        <w:t xml:space="preserve">45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24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Задаток для участия в аукционе на право заключения договора аренды земельного участка – 2</w:t>
      </w:r>
      <w:r>
        <w:rPr>
          <w:rFonts w:ascii="Times New Roman" w:hAnsi="Times New Roman" w:cs="Times New Roman"/>
          <w:sz w:val="28"/>
          <w:szCs w:val="28"/>
        </w:rPr>
        <w:t xml:space="preserve">22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62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«Шаг аукциона» – 1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36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Технические условия подключения объекта к сетям инженерно-технического обеспечения:  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) МУП «Добринский водоканал»</w:t>
      </w:r>
      <w:r>
        <w:rPr>
          <w:rFonts w:ascii="Times New Roman" w:hAnsi="Times New Roman" w:cs="Times New Roman"/>
          <w:sz w:val="28"/>
          <w:szCs w:val="28"/>
        </w:rPr>
        <w:t xml:space="preserve"> - имеется техническая возможность подключения к наружным инженерным сетям водоснабжения.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ОАО «Газпром газораспределение Липецк» - имеется техническая возможность подключения к газораспределительной сети.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) МБУ «Центр по обслуживанию муниципальных учреждений и органов местного самоуправления Добринского муниципального района Липецкой области» - возможность присоединения к сетям теплоснабжения (централизованное отопление) отсутствует.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 предельно допустимых параметрах строительства на земельном участке: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709"/>
        <w:jc w:val="center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Ж1 – Зона застройки индивидуальными жилыми домами.</w:t>
      </w:r>
      <w:r>
        <w:rPr>
          <w:rFonts w:ascii="Times New Roman" w:hAnsi="Times New Roman" w:cs="Times New Roman"/>
        </w:rPr>
      </w:r>
    </w:p>
    <w:tbl>
      <w:tblPr>
        <w:tblStyle w:val="712"/>
        <w:tblW w:w="9634" w:type="dxa"/>
        <w:tblLayout w:type="fixed"/>
        <w:tblLook w:val="0000" w:firstRow="0" w:lastRow="0" w:firstColumn="0" w:lastColumn="0" w:noHBand="0" w:noVBand="0"/>
      </w:tblPr>
      <w:tblGrid>
        <w:gridCol w:w="2127"/>
        <w:gridCol w:w="4178"/>
        <w:gridCol w:w="709"/>
        <w:gridCol w:w="2620"/>
      </w:tblGrid>
      <w:tr>
        <w:tblPrEx/>
        <w:trPr/>
        <w:tc>
          <w:tcPr>
            <w:tcW w:w="2127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вида разрешенного использования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7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вида разрешенного использования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Предельные параметры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4"/>
            <w:tcW w:w="9634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Основные и вспомогательные виды разрешенного использования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2127" w:type="dxa"/>
            <w:textDirection w:val="lrTb"/>
            <w:noWrap w:val="false"/>
          </w:tcPr>
          <w:p>
            <w:pPr>
              <w:pStyle w:val="714"/>
              <w:contextualSpacing/>
              <w:jc w:val="both"/>
            </w:pPr>
            <w:r>
              <w:t xml:space="preserve">Для индивидуального жилищного строительства</w:t>
            </w:r>
            <w:r/>
          </w:p>
        </w:tc>
        <w:tc>
          <w:tcPr>
            <w:tcW w:w="4178" w:type="dxa"/>
            <w:textDirection w:val="lrTb"/>
            <w:noWrap w:val="false"/>
          </w:tcPr>
          <w:p>
            <w:pPr>
              <w:pStyle w:val="714"/>
              <w:contextualSpacing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Размещение индивидуального жилого дома (дом, пригодный для постоянного проживания, высотой не выше трех надземных этажей);</w:t>
            </w:r>
            <w:r>
              <w:rPr>
                <w:shd w:val="clear" w:color="auto" w:fill="ffffff"/>
              </w:rPr>
            </w:r>
          </w:p>
          <w:p>
            <w:pPr>
              <w:pStyle w:val="714"/>
              <w:contextualSpacing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выращивание плодовых, ягодных, овощных, бахчевых или иных декоративных или сельскохозяйственных культур;</w:t>
            </w:r>
            <w:r>
              <w:rPr>
                <w:shd w:val="clear" w:color="auto" w:fill="ffffff"/>
              </w:rPr>
            </w:r>
          </w:p>
          <w:p>
            <w:pPr>
              <w:pStyle w:val="714"/>
              <w:contextualSpacing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размещение индивидуальных гаражей и подсобных сооружений</w:t>
            </w:r>
            <w:r>
              <w:rPr>
                <w:shd w:val="clear" w:color="auto" w:fill="ffffff"/>
              </w:rPr>
              <w:tab/>
              <w:t xml:space="preserve">Производство сельскохозяйственной продукции;</w:t>
            </w:r>
            <w:r>
              <w:rPr>
                <w:shd w:val="clear" w:color="auto" w:fill="ffffff"/>
              </w:rPr>
            </w:r>
          </w:p>
          <w:p>
            <w:pPr>
              <w:pStyle w:val="714"/>
              <w:contextualSpacing/>
              <w:jc w:val="both"/>
            </w:pPr>
            <w:r>
              <w:rPr>
                <w:shd w:val="clear" w:color="auto" w:fill="ffffff"/>
              </w:rPr>
              <w:t xml:space="preserve">содержание сельскохозяйственных животных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2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Предельные размеры земельного участка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Размеры земельного участка 0,05 - 0,15 га, по улицам Чехова, Полевая, Вишневая, Некрасова, Терпигор</w:t>
            </w:r>
            <w:r>
              <w:rPr>
                <w:rFonts w:ascii="Times New Roman" w:hAnsi="Times New Roman" w:cs="Times New Roman"/>
              </w:rPr>
              <w:t xml:space="preserve">е</w:t>
            </w:r>
            <w:r>
              <w:rPr>
                <w:rFonts w:ascii="Times New Roman" w:hAnsi="Times New Roman" w:cs="Times New Roman"/>
              </w:rPr>
              <w:t xml:space="preserve">ва 0,05 - 0,25 га для   п. Добринка, для остальных населенных пунктов 0,05 - 0,50 га;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Минимальная ширина по линии улицы</w:t>
            </w:r>
            <w:r>
              <w:rPr>
                <w:rFonts w:ascii="Times New Roman" w:hAnsi="Times New Roman" w:cs="Times New Roman"/>
              </w:rPr>
              <w:t xml:space="preserve"> – 20 м, в условиях сложившейся застройки допускается 15 м.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Минимальные отступы от границ земельного участка (м)</w:t>
            </w:r>
            <w:r>
              <w:rPr>
                <w:rFonts w:ascii="Times New Roman" w:hAnsi="Times New Roman" w:cs="Times New Roman"/>
                <w:b/>
              </w:rPr>
              <w:tab/>
              <w:t xml:space="preserve">Для жилого дома: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5 м., но не ближе, чем по линии регулирования сложившейся застройки; </w:t>
            </w:r>
            <w:r>
              <w:rPr>
                <w:rFonts w:ascii="Times New Roman" w:hAnsi="Times New Roman" w:cs="Times New Roman"/>
              </w:rPr>
              <w:t xml:space="preserve">со стороны соседнего участка – 3 м.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Для индивидуальных гаражей: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0 м, со стороны соседнего участка – 1 м.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Для подсобных сооружений: 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10 м, со стороны соседнего участка до постройки для содержания скота и птицы - 4 м; до других построек – 1 м.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Указанные минимальные значения применимы при условии соблюдения требований пожарной безопасности.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Предельное кол-во этажей или предельная высота здания, строения, сооружения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Предельное количество этажей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жилого дома - 3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индивидуальных гаражей – 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подсобных сооружений – 1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Макс.процент</w:t>
            </w:r>
            <w:r>
              <w:rPr>
                <w:rFonts w:ascii="Times New Roman" w:hAnsi="Times New Roman" w:cs="Times New Roman"/>
              </w:rPr>
              <w:t xml:space="preserve"> застройки в границах земельного участка, %</w:t>
            </w:r>
            <w:r>
              <w:rPr>
                <w:rFonts w:ascii="Times New Roman" w:hAnsi="Times New Roman" w:cs="Times New Roman"/>
              </w:rPr>
              <w:tab/>
              <w:t xml:space="preserve">Для земельных участков площадью до 1000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-  40</w:t>
            </w:r>
            <w:r>
              <w:rPr>
                <w:rFonts w:ascii="Times New Roman" w:hAnsi="Times New Roman" w:cs="Times New Roman"/>
              </w:rPr>
              <w:t xml:space="preserve">%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земельных участков площадью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более 1000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-  30</w:t>
            </w:r>
            <w:r>
              <w:rPr>
                <w:rFonts w:ascii="Times New Roman" w:hAnsi="Times New Roman" w:cs="Times New Roman"/>
              </w:rPr>
              <w:t xml:space="preserve">%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127" w:type="dxa"/>
            <w:textDirection w:val="lrTb"/>
            <w:noWrap w:val="false"/>
          </w:tcPr>
          <w:p>
            <w:pPr>
              <w:pStyle w:val="714"/>
              <w:contextualSpacing/>
              <w:jc w:val="both"/>
            </w:pPr>
            <w:r>
              <w:rPr>
                <w:color w:val="333333"/>
                <w:shd w:val="clear" w:color="auto" w:fill="ffffff"/>
              </w:rPr>
              <w:t xml:space="preserve">Для ведения личного подсобного хозяйства</w:t>
            </w:r>
            <w:r/>
          </w:p>
        </w:tc>
        <w:tc>
          <w:tcPr>
            <w:tcW w:w="4178" w:type="dxa"/>
            <w:textDirection w:val="lrTb"/>
            <w:noWrap w:val="false"/>
          </w:tcPr>
          <w:p>
            <w:pPr>
              <w:pStyle w:val="714"/>
              <w:contextualSpacing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 производство сельскохозяйственной продукции; размещение гаража и иных вспомогательных сооружений;</w:t>
            </w:r>
            <w:r>
              <w:rPr>
                <w:shd w:val="clear" w:color="auto" w:fill="ffffff"/>
              </w:rPr>
            </w:r>
          </w:p>
          <w:p>
            <w:pPr>
              <w:pStyle w:val="714"/>
              <w:contextualSpacing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содержание сельскохозяйственных животных</w:t>
            </w:r>
            <w:r>
              <w:rPr>
                <w:shd w:val="clear" w:color="auto" w:fill="ffffff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2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Предельные размеры земельного участка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Минимальная площадь - 500 </w:t>
            </w:r>
            <w:r>
              <w:rPr>
                <w:rFonts w:ascii="Times New Roman" w:hAnsi="Times New Roman" w:cs="Times New Roman"/>
                <w:bCs/>
              </w:rPr>
              <w:t xml:space="preserve">кв.м</w:t>
            </w:r>
            <w:r>
              <w:rPr>
                <w:rFonts w:ascii="Times New Roman" w:hAnsi="Times New Roman" w:cs="Times New Roman"/>
                <w:bCs/>
              </w:rPr>
              <w:t xml:space="preserve">.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Максимальная площадь – 5000 </w:t>
            </w:r>
            <w:r>
              <w:rPr>
                <w:rFonts w:ascii="Times New Roman" w:hAnsi="Times New Roman" w:cs="Times New Roman"/>
                <w:bCs/>
              </w:rPr>
              <w:t xml:space="preserve">кв.м</w:t>
            </w:r>
            <w:r>
              <w:rPr>
                <w:rFonts w:ascii="Times New Roman" w:hAnsi="Times New Roman" w:cs="Times New Roman"/>
                <w:bCs/>
              </w:rPr>
              <w:t xml:space="preserve">.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Минимальная ширина по линии улицы – 20 м, в условиях сложившейся застройки допускается 15 м.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Минимальные отступы от границ земельного участка (м)Для жилого дома: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 стороны улицы – 5 м., но не ближе, чем по линии регулирования сложившейся застройки; </w:t>
            </w:r>
            <w:r>
              <w:rPr>
                <w:rFonts w:ascii="Times New Roman" w:hAnsi="Times New Roman" w:cs="Times New Roman"/>
                <w:bCs/>
              </w:rPr>
              <w:t xml:space="preserve">со стороны соседнего участка – 3 м. 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Для индивидуальных гаражей: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 стороны улицы – 0 м, со стороны соседнего участка – 1 м.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Для вспомогательных сооружений: 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 стороны улицы – 10 м, со стороны соседнего участка до постройки для содержания скота и птицы - 4 м; до других построек – 1 м.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Указанные минимальные значения применимы при условии соблюдения требований пожарной безопасности.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Предельное кол-во этажей или предельная высота здания, строения, сооружения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Предельное количество этажей: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для жилого дома - 3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для индивидуальных гаражей – 1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для вспомогательных сооружений – 1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Макс.процент</w:t>
            </w:r>
            <w:r>
              <w:rPr>
                <w:rFonts w:ascii="Times New Roman" w:hAnsi="Times New Roman" w:cs="Times New Roman"/>
                <w:bCs/>
              </w:rPr>
              <w:t xml:space="preserve"> застройки в границах земельного участка, %Для земельных участков площадью до 1000 </w:t>
            </w:r>
            <w:r>
              <w:rPr>
                <w:rFonts w:ascii="Times New Roman" w:hAnsi="Times New Roman" w:cs="Times New Roman"/>
                <w:bCs/>
              </w:rPr>
              <w:t xml:space="preserve">кв.м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 xml:space="preserve">-  40</w:t>
            </w:r>
            <w:r>
              <w:rPr>
                <w:rFonts w:ascii="Times New Roman" w:hAnsi="Times New Roman" w:cs="Times New Roman"/>
                <w:bCs/>
              </w:rPr>
              <w:t xml:space="preserve">%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Для земельных участков площадью более 1000 </w:t>
            </w:r>
            <w:r>
              <w:rPr>
                <w:rFonts w:ascii="Times New Roman" w:hAnsi="Times New Roman" w:cs="Times New Roman"/>
                <w:bCs/>
              </w:rPr>
              <w:t xml:space="preserve">кв.м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 xml:space="preserve">-  30</w:t>
            </w:r>
            <w:r>
              <w:rPr>
                <w:rFonts w:ascii="Times New Roman" w:hAnsi="Times New Roman" w:cs="Times New Roman"/>
                <w:bCs/>
              </w:rPr>
              <w:t xml:space="preserve">%</w:t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/>
        <w:tc>
          <w:tcPr>
            <w:tcW w:w="212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бло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кированная жилая застройка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41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</w:t>
            </w:r>
            <w:r>
              <w:rPr>
                <w:rFonts w:ascii="Times New Roman" w:hAnsi="Times New Roman" w:cs="Times New Roman"/>
              </w:rPr>
              <w:t xml:space="preserve">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</w:t>
            </w:r>
            <w:r>
              <w:rPr>
                <w:rFonts w:ascii="Times New Roman" w:hAnsi="Times New Roman" w:cs="Times New Roman"/>
              </w:rPr>
              <w:t xml:space="preserve">зования (жилые дома блокированной застройки);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20" w:type="dxa"/>
            <w:textDirection w:val="lrTb"/>
            <w:noWrap w:val="false"/>
          </w:tcPr>
          <w:p>
            <w:pPr>
              <w:keepLines/>
              <w:keepNext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Предельные размеры земельного участка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Минимальная площадь</w:t>
            </w:r>
            <w:r>
              <w:rPr>
                <w:rFonts w:ascii="Times New Roman" w:hAnsi="Times New Roman" w:cs="Times New Roman"/>
              </w:rPr>
              <w:t xml:space="preserve"> - 300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Максимальная площадь</w:t>
            </w:r>
            <w:r>
              <w:rPr>
                <w:rFonts w:ascii="Times New Roman" w:hAnsi="Times New Roman" w:cs="Times New Roman"/>
              </w:rPr>
              <w:t xml:space="preserve"> – 3000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Минимальная ширина по линии улицы</w:t>
            </w:r>
            <w:r>
              <w:rPr>
                <w:rFonts w:ascii="Times New Roman" w:hAnsi="Times New Roman" w:cs="Times New Roman"/>
              </w:rPr>
              <w:t xml:space="preserve"> – 15 м (для крайних земельных участков)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keepNext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Минимальные отступы от границ земельного участка (м)</w:t>
            </w:r>
            <w:r>
              <w:rPr>
                <w:rFonts w:ascii="Times New Roman" w:hAnsi="Times New Roman" w:cs="Times New Roman"/>
                <w:b/>
              </w:rPr>
              <w:tab/>
              <w:t xml:space="preserve">Для жилого дома: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5 м, но не ближе, чем по линии регулирования сложившейся застройки; со стороны соседнего участка – 6 м. (для крайних земельных участков)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keepNext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Для индивидуальных гаражей: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0 м, со стороны соседнего участка – 1 м.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keepNext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Для вспомогательных сооружений: 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10 м, со стороны соседнего участка до постройки для содержания скота и птицы - 4 м; до других построек – 1 м.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keepNext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Указанные минимальные значения применимы при условии соблюдения требований пожарной безопасности.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Предельное кол-во этажей или предельная высота здания, строения, сооружения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keepNext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Предельное количество этажей: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жилого дома - 3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индивидуальных гаражей – 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вспомогательных сооружений – 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Макс.процент</w:t>
            </w:r>
            <w:r>
              <w:rPr>
                <w:rFonts w:ascii="Times New Roman" w:hAnsi="Times New Roman" w:cs="Times New Roman"/>
              </w:rPr>
              <w:t xml:space="preserve"> застройки в границах земельного участка, %</w:t>
            </w:r>
            <w:r>
              <w:rPr>
                <w:rFonts w:ascii="Times New Roman" w:hAnsi="Times New Roman" w:cs="Times New Roman"/>
              </w:rPr>
              <w:tab/>
              <w:t xml:space="preserve">Для земельных участков площадью до 1000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-  40</w:t>
            </w:r>
            <w:r>
              <w:rPr>
                <w:rFonts w:ascii="Times New Roman" w:hAnsi="Times New Roman" w:cs="Times New Roman"/>
              </w:rPr>
              <w:t xml:space="preserve">%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земельных участков площадью более 1000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-  30</w:t>
            </w:r>
            <w:r>
              <w:rPr>
                <w:rFonts w:ascii="Times New Roman" w:hAnsi="Times New Roman" w:cs="Times New Roman"/>
              </w:rPr>
              <w:t xml:space="preserve">%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Малоэтажная многоквартирная жилая застройка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малоэтажного многоквартирного жилого дома (дом, пригодный для постоянного проживания, высотой до 4 этажей, включая мансардный);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разведение декоративных и плодовых деревьев, овощных и ягодных культур;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индивидуальных гаражей и иных вспомогательных сооружений;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обустройство спортивных и детских площадок, площадок </w:t>
            </w:r>
            <w:r>
              <w:rPr>
                <w:rFonts w:ascii="Times New Roman" w:hAnsi="Times New Roman" w:cs="Times New Roman"/>
              </w:rPr>
              <w:t xml:space="preserve">отдыха.Производство</w:t>
            </w:r>
            <w:r>
              <w:rPr>
                <w:rFonts w:ascii="Times New Roman" w:hAnsi="Times New Roman" w:cs="Times New Roman"/>
              </w:rPr>
              <w:t xml:space="preserve"> сельскохозяйственной продукции; содержание сельскохозяйственных животных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Предельные размеры земельного участка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Минимальная площадь</w:t>
            </w:r>
            <w:r>
              <w:rPr>
                <w:rFonts w:ascii="Times New Roman" w:hAnsi="Times New Roman" w:cs="Times New Roman"/>
              </w:rPr>
              <w:t xml:space="preserve"> - 1000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Максимальная площадь</w:t>
            </w:r>
            <w:r>
              <w:rPr>
                <w:rFonts w:ascii="Times New Roman" w:hAnsi="Times New Roman" w:cs="Times New Roman"/>
              </w:rPr>
              <w:t xml:space="preserve"> – 5000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Минимальная ширина по линии улицы – 20 м, в условиях сложившейся застройки допускается 15 м.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Минимальные отступы от границ земельного участка (м)</w:t>
            </w:r>
            <w:r>
              <w:rPr>
                <w:rFonts w:ascii="Times New Roman" w:hAnsi="Times New Roman" w:cs="Times New Roman"/>
                <w:b/>
              </w:rPr>
              <w:tab/>
              <w:t xml:space="preserve">Для жилого дома: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5 м, но не ближе, чем по линии регулирования сложившейся застройки; со стороны соседнего участка – 6 м.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индивидуальных гаражей: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0 м, со стороны соседнего участка – 1 м.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вспомогательных сооружений: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10 м, со стороны соседнего участка до постройки для содержания скота и птицы - 4 м; до других построек – 1 м.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Указанные минимальные значения применимы при условии соблюдения требований пожарной безопасности.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Предельное кол-во этажей или предельная высота здания, строения, сооружения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Предельное количество этажей: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жилого дома - 1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индивидуальных гаражей – 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вспомогательных сооружений – 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Макс.процент</w:t>
            </w:r>
            <w:r>
              <w:rPr>
                <w:rFonts w:ascii="Times New Roman" w:hAnsi="Times New Roman" w:cs="Times New Roman"/>
              </w:rPr>
              <w:t xml:space="preserve"> застройки в границах земельного участка, %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30%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Коммунальное обслуживание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78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255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</w:t>
            </w:r>
            <w:r>
              <w:rPr>
                <w:rFonts w:ascii="Times New Roman" w:hAnsi="Times New Roman" w:cs="Times New Roman"/>
              </w:rPr>
              <w:t xml:space="preserve">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</w:t>
            </w:r>
            <w:r>
              <w:rPr>
                <w:rFonts w:ascii="Times New Roman" w:hAnsi="Times New Roman" w:cs="Times New Roman"/>
              </w:rPr>
              <w:t xml:space="preserve">опроводов, линий электропередач, трансформаторных подстанций, газопроводов, линий связи, телефонных станций, канализаций,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Предельные размеры земельного участка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Минимальная площадь</w:t>
            </w:r>
            <w:r>
              <w:rPr>
                <w:rFonts w:ascii="Times New Roman" w:hAnsi="Times New Roman" w:cs="Times New Roman"/>
              </w:rPr>
              <w:t xml:space="preserve"> – не подлежит установлению.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Максимальная площадь</w:t>
            </w:r>
            <w:r>
              <w:rPr>
                <w:rFonts w:ascii="Times New Roman" w:hAnsi="Times New Roman" w:cs="Times New Roman"/>
              </w:rPr>
              <w:t xml:space="preserve"> – 2500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Минимальные отступы от границ земельного участка (м)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Для здания: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5 м., но не ближе, чем по линии регулирования сложившейся застройки; со стороны соседнего участка – 3 м.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Для других сооружений</w:t>
            </w:r>
            <w:r>
              <w:rPr>
                <w:rFonts w:ascii="Times New Roman" w:hAnsi="Times New Roman" w:cs="Times New Roman"/>
              </w:rPr>
              <w:t xml:space="preserve"> – не подлежат установлению.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Указанные минимальные значения применимы при условии соблюдения требований пожарной безопасности. 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Предельное кол-во этажей или предельная высота здания, строения, сооружения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Предельное количество этажей: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зданий </w:t>
            </w:r>
            <w:r>
              <w:rPr>
                <w:rFonts w:ascii="Times New Roman" w:hAnsi="Times New Roman" w:cs="Times New Roman"/>
              </w:rPr>
              <w:t xml:space="preserve">-  2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Предельная высота сооружений – не подлежит установлению.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Макс.процент</w:t>
            </w:r>
            <w:r>
              <w:rPr>
                <w:rFonts w:ascii="Times New Roman" w:hAnsi="Times New Roman" w:cs="Times New Roman"/>
              </w:rPr>
              <w:t xml:space="preserve"> застройки в границах земельного участка, %</w:t>
            </w:r>
            <w:r>
              <w:rPr>
                <w:rFonts w:ascii="Times New Roman" w:hAnsi="Times New Roman" w:cs="Times New Roman"/>
              </w:rPr>
              <w:tab/>
              <w:t xml:space="preserve">Не подлежит установлению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Социальное обслуживание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для размещения отделений почты и телеграфа;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20" w:type="dxa"/>
            <w:textDirection w:val="lrTb"/>
            <w:noWrap w:val="false"/>
          </w:tcPr>
          <w:p>
            <w:pPr>
              <w:keepLines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Предельные размеры земельного участка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подлежат установлению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Минимальные отступы от границ земельного участка (м)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5 м., но не ближе, чем по линии регулирования сложившейся застройки; со стороны соседнего участка – 3 м.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Указанные минимальные значения применимы при условии соблюдения требований пожарной безопасности. 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Предельное кол-во этажей или предельная высота здания, строения, сооружения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Предельное количество этажей</w:t>
            </w:r>
            <w:r>
              <w:rPr>
                <w:rFonts w:ascii="Times New Roman" w:hAnsi="Times New Roman" w:cs="Times New Roman"/>
              </w:rPr>
              <w:t xml:space="preserve"> - 2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Макс.процент</w:t>
            </w:r>
            <w:r>
              <w:rPr>
                <w:rFonts w:ascii="Times New Roman" w:hAnsi="Times New Roman" w:cs="Times New Roman"/>
              </w:rPr>
              <w:t xml:space="preserve"> застройки в границах земельного участка, %</w:t>
            </w:r>
            <w:r>
              <w:rPr>
                <w:rFonts w:ascii="Times New Roman" w:hAnsi="Times New Roman" w:cs="Times New Roman"/>
              </w:rPr>
              <w:tab/>
              <w:t xml:space="preserve">60%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Бытовое обслуживание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20" w:type="dxa"/>
            <w:textDirection w:val="lrTb"/>
            <w:noWrap w:val="false"/>
          </w:tcPr>
          <w:p>
            <w:pPr>
              <w:keepLines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Предельные размеры земельного участка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Минимальная площадь</w:t>
            </w:r>
            <w:r>
              <w:rPr>
                <w:rFonts w:ascii="Times New Roman" w:hAnsi="Times New Roman" w:cs="Times New Roman"/>
              </w:rPr>
              <w:t xml:space="preserve"> – не подлежит установлению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Максимальная площадь</w:t>
            </w:r>
            <w:r>
              <w:rPr>
                <w:rFonts w:ascii="Times New Roman" w:hAnsi="Times New Roman" w:cs="Times New Roman"/>
              </w:rPr>
              <w:t xml:space="preserve"> – 3500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Минимальные отступы от границ земельного участка (м)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5 м., но не ближе, чем по линии регулирования сложившейся застройки; со стороны соседнего участка – 5 м.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Указанные минимальные значения применимы при условии соблюдения требований пожарной безопасности.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Предельное кол-во этажей или предельная высота здания, строения, сооружения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Предельное количество этажей</w:t>
            </w:r>
            <w:r>
              <w:rPr>
                <w:rFonts w:ascii="Times New Roman" w:hAnsi="Times New Roman" w:cs="Times New Roman"/>
              </w:rPr>
              <w:t xml:space="preserve"> - 2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Макс.процент</w:t>
            </w:r>
            <w:r>
              <w:rPr>
                <w:rFonts w:ascii="Times New Roman" w:hAnsi="Times New Roman" w:cs="Times New Roman"/>
              </w:rPr>
              <w:t xml:space="preserve"> застройки в границах земельного участка, %</w:t>
            </w:r>
            <w:r>
              <w:rPr>
                <w:rFonts w:ascii="Times New Roman" w:hAnsi="Times New Roman" w:cs="Times New Roman"/>
              </w:rPr>
              <w:tab/>
              <w:t xml:space="preserve">60%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Иные параметры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>
              <w:rPr>
                <w:rFonts w:ascii="Times New Roman" w:hAnsi="Times New Roman" w:cs="Times New Roman"/>
              </w:rPr>
              <w:t xml:space="preserve">площадьздания</w:t>
            </w:r>
            <w:r>
              <w:rPr>
                <w:rFonts w:ascii="Times New Roman" w:hAnsi="Times New Roman" w:cs="Times New Roman"/>
              </w:rPr>
              <w:t xml:space="preserve"> не более 300 </w:t>
            </w:r>
            <w:r>
              <w:rPr>
                <w:rFonts w:ascii="Times New Roman" w:hAnsi="Times New Roman" w:cs="Times New Roman"/>
              </w:rPr>
              <w:t xml:space="preserve">м.кв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Магазины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продажи товаров торговая площадь которых составляет до 5000 кв. 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20" w:type="dxa"/>
            <w:textDirection w:val="lrTb"/>
            <w:noWrap w:val="false"/>
          </w:tcPr>
          <w:p>
            <w:pPr>
              <w:keepLines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Предельные размеры земельного участка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Минимальная площадь</w:t>
            </w:r>
            <w:r>
              <w:rPr>
                <w:rFonts w:ascii="Times New Roman" w:hAnsi="Times New Roman" w:cs="Times New Roman"/>
              </w:rPr>
              <w:t xml:space="preserve"> – не подлежит установлению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Максимальная площадь</w:t>
            </w:r>
            <w:r>
              <w:rPr>
                <w:rFonts w:ascii="Times New Roman" w:hAnsi="Times New Roman" w:cs="Times New Roman"/>
              </w:rPr>
              <w:t xml:space="preserve"> – 3500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Минимальные отступы от границ земельного участка (м)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5 м., но не ближе, чем по линии регулирования сложившейся застройки; со стороны соседнего участка – 6 м.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Указанные минимальные значения применимы при условии соблюдения требований пожарной безопасности.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Предельное кол-во этажей или предельная высота здания, строения, сооружения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Предельное количество этажей</w:t>
            </w:r>
            <w:r>
              <w:rPr>
                <w:rFonts w:ascii="Times New Roman" w:hAnsi="Times New Roman" w:cs="Times New Roman"/>
              </w:rPr>
              <w:t xml:space="preserve"> - 2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Макс.процент</w:t>
            </w:r>
            <w:r>
              <w:rPr>
                <w:rFonts w:ascii="Times New Roman" w:hAnsi="Times New Roman" w:cs="Times New Roman"/>
              </w:rPr>
              <w:t xml:space="preserve"> застройки в границах земельного участка, %</w:t>
            </w:r>
            <w:r>
              <w:rPr>
                <w:rFonts w:ascii="Times New Roman" w:hAnsi="Times New Roman" w:cs="Times New Roman"/>
              </w:rPr>
              <w:tab/>
              <w:t xml:space="preserve">60%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Иные параметры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Максимальная торговая площадь магазина – 150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Наличие мест для гостевых автостоянок. 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gridSpan w:val="4"/>
            <w:tcW w:w="9634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Условно разрешенные виды использования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Амбулаторное ветеринарное обслуживание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оказания ветеринарных услуг без содержания животных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7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3.10.1</w:t>
            </w:r>
            <w:r>
              <w:rPr>
                <w:sz w:val="22"/>
                <w:szCs w:val="22"/>
              </w:rPr>
            </w:r>
          </w:p>
        </w:tc>
        <w:tc>
          <w:tcPr>
            <w:tcW w:w="26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Предельные размеры земельного участка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Минимальная площадь</w:t>
            </w:r>
            <w:r>
              <w:rPr>
                <w:rFonts w:ascii="Times New Roman" w:hAnsi="Times New Roman" w:cs="Times New Roman"/>
              </w:rPr>
              <w:t xml:space="preserve"> – 2000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Максимальная площадь</w:t>
            </w:r>
            <w:r>
              <w:rPr>
                <w:rFonts w:ascii="Times New Roman" w:hAnsi="Times New Roman" w:cs="Times New Roman"/>
              </w:rPr>
              <w:t xml:space="preserve"> – 3500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Минимальные отступы от границ земельного участка (м)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5 м., но не ближе, чем по линии регулирования сложившейся застройки; со стороны соседнего участка – 6 м.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Указанные минимальные значения применимы при условии соблюдения требований пожарной безопасности.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Предельное кол-во этажей или предельная высота здания, строения, сооружения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Предельное количество этажей</w:t>
            </w:r>
            <w:r>
              <w:rPr>
                <w:rFonts w:ascii="Times New Roman" w:hAnsi="Times New Roman" w:cs="Times New Roman"/>
              </w:rPr>
              <w:t xml:space="preserve"> - 2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Макс.процент</w:t>
            </w:r>
            <w:r>
              <w:rPr>
                <w:rFonts w:ascii="Times New Roman" w:hAnsi="Times New Roman" w:cs="Times New Roman"/>
              </w:rPr>
              <w:t xml:space="preserve"> застройки в границах земельного участка, %</w:t>
            </w:r>
            <w:r>
              <w:rPr>
                <w:rFonts w:ascii="Times New Roman" w:hAnsi="Times New Roman" w:cs="Times New Roman"/>
              </w:rPr>
              <w:tab/>
              <w:t xml:space="preserve">60%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Иные параметры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Максимальная общая площадь здания – 300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Наличие мест для гостевых автостоянок. </w:t>
            </w:r>
            <w:r>
              <w:rPr>
                <w:rFonts w:ascii="Times New Roman" w:hAnsi="Times New Roman" w:cs="Times New Roman"/>
                <w:b/>
                <w:lang w:eastAsia="ru-RU"/>
              </w:rPr>
            </w:r>
          </w:p>
        </w:tc>
      </w:tr>
      <w:tr>
        <w:tblPrEx/>
        <w:trPr/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Магазины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</w:t>
            </w:r>
            <w:r>
              <w:rPr>
                <w:rFonts w:ascii="Times New Roman" w:hAnsi="Times New Roman" w:cs="Times New Roman"/>
              </w:rPr>
              <w:t xml:space="preserve">продажи товаров торговая площадь которых составляет до 5000 кв. 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20" w:type="dxa"/>
            <w:textDirection w:val="lrTb"/>
            <w:noWrap w:val="false"/>
          </w:tcPr>
          <w:p>
            <w:pPr>
              <w:keepLines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Предельные размеры земельного участка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Минимальная площадь</w:t>
            </w:r>
            <w:r>
              <w:rPr>
                <w:rFonts w:ascii="Times New Roman" w:hAnsi="Times New Roman" w:cs="Times New Roman"/>
              </w:rPr>
              <w:t xml:space="preserve"> – не подлежит установлению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Максимальная площадь</w:t>
            </w:r>
            <w:r>
              <w:rPr>
                <w:rFonts w:ascii="Times New Roman" w:hAnsi="Times New Roman" w:cs="Times New Roman"/>
              </w:rPr>
              <w:t xml:space="preserve"> – 3500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Минимальные отступы от границ земельного участка (м)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5 м., но не ближе, чем по линии регулирования сложившейся застройки; со стороны соседнего участка – 6 м.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Указанные минимальные значения применимы при условии соблюдения требований пожарной безопасности.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Предельное кол-во этажей или предельная высота здания, строения, сооружения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Предельное количество этажей</w:t>
            </w:r>
            <w:r>
              <w:rPr>
                <w:rFonts w:ascii="Times New Roman" w:hAnsi="Times New Roman" w:cs="Times New Roman"/>
              </w:rPr>
              <w:t xml:space="preserve"> - 2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Макс.процент</w:t>
            </w:r>
            <w:r>
              <w:rPr>
                <w:rFonts w:ascii="Times New Roman" w:hAnsi="Times New Roman" w:cs="Times New Roman"/>
              </w:rPr>
              <w:t xml:space="preserve"> застройки в границах земельного участка, %</w:t>
            </w:r>
            <w:r>
              <w:rPr>
                <w:rFonts w:ascii="Times New Roman" w:hAnsi="Times New Roman" w:cs="Times New Roman"/>
              </w:rPr>
              <w:tab/>
              <w:t xml:space="preserve">60%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keepLines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Иные параметры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Максимальная торговая площадь магазина – 150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Наличие мест для гостевых автостоянок.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Общественное питание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в целях устройства мест общественного питания (рестораны, кафе, столовые, закусочные, бары) Размещение постоянных или временных гаражей с несколькими стояночными местами, стоянок (парковок), гаражей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20" w:type="dxa"/>
            <w:textDirection w:val="lrTb"/>
            <w:noWrap w:val="false"/>
          </w:tcPr>
          <w:p>
            <w:pPr>
              <w:ind w:firstLine="28"/>
              <w:keepLines/>
              <w:keepNext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Предельные размеры земельного участка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Минимальная площадь</w:t>
            </w:r>
            <w:r>
              <w:rPr>
                <w:rFonts w:ascii="Times New Roman" w:hAnsi="Times New Roman" w:cs="Times New Roman"/>
              </w:rPr>
              <w:t xml:space="preserve"> – не подлежит установлению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Максимальная площадь</w:t>
            </w:r>
            <w:r>
              <w:rPr>
                <w:rFonts w:ascii="Times New Roman" w:hAnsi="Times New Roman" w:cs="Times New Roman"/>
              </w:rPr>
              <w:t xml:space="preserve"> – 3500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Минимальные отступы от границ земельного участка (м)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5 м., но не ближе, чем по линии регулирования сложившейся застройки; со стороны соседнего участка – 6 м.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Применимы при условии соблюдения требований пожарной безопасности.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5 м., но не ближе, чем по линии регулирования сложившейся застройки; со стороны соседнего участка – 6 м.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Применимы при условии соблюдения требований пожарной безопасности.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Предельное кол-во этажей или предельная высота здания, строения, сооружения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Предельное количество этажей</w:t>
            </w:r>
            <w:r>
              <w:rPr>
                <w:rFonts w:ascii="Times New Roman" w:hAnsi="Times New Roman" w:cs="Times New Roman"/>
              </w:rPr>
              <w:t xml:space="preserve"> - 2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Предельное количество этажей</w:t>
            </w:r>
            <w:r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Макс.процент</w:t>
            </w:r>
            <w:r>
              <w:rPr>
                <w:rFonts w:ascii="Times New Roman" w:hAnsi="Times New Roman" w:cs="Times New Roman"/>
              </w:rPr>
              <w:t xml:space="preserve"> застройки в границах земельного участка, %60% (в том числе вспомогательные)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Иные параметры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Посадочные места не более чем 50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Наличие мест для гостевых автостоянок. 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Стояночные места в гараже – не более 2-х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08"/>
        </w:trPr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Объекты гаражного назначения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отдельно стоящих и пристроенных гаражей, в том числе подземных, предназначенных для хранения личного автотранспорта граждан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2.7.1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20" w:type="dxa"/>
            <w:textDirection w:val="lrTb"/>
            <w:noWrap w:val="false"/>
          </w:tcPr>
          <w:p>
            <w:pPr>
              <w:ind w:firstLine="28"/>
              <w:keepLines/>
              <w:keepNext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Предельные размеры земельного участка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подлежат установлению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Минимальные отступы от границ земельного участка (м)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улицы – 3 м, со стороны соседнего участка – 3 м.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Применимы при условии соблюдения требований пожарной безопасности.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Предельное кол-во этажей или предельная высота здания, строения, сооружения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Предельное количество этажей</w:t>
            </w:r>
            <w:r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28"/>
              <w:keepLines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Макс.процент</w:t>
            </w:r>
            <w:r>
              <w:rPr>
                <w:rFonts w:ascii="Times New Roman" w:hAnsi="Times New Roman" w:cs="Times New Roman"/>
              </w:rPr>
              <w:t xml:space="preserve"> застройки в границах земельного участка, %</w:t>
            </w:r>
            <w:r>
              <w:rPr>
                <w:rFonts w:ascii="Times New Roman" w:hAnsi="Times New Roman" w:cs="Times New Roman"/>
              </w:rPr>
              <w:tab/>
              <w:t xml:space="preserve">80%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Иные параметры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Возможно размещение блокированных гаражей при условии соблюдения требований пожарной безопасности</w:t>
            </w:r>
            <w:r>
              <w:rPr>
                <w:rFonts w:ascii="Times New Roman" w:hAnsi="Times New Roman" w:cs="Times New Roman"/>
                <w:b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Примечания:</w:t>
      </w:r>
      <w:r>
        <w:rPr>
          <w:rFonts w:ascii="Times New Roman" w:hAnsi="Times New Roman" w:cs="Times New Roman"/>
        </w:rPr>
      </w:r>
    </w:p>
    <w:p>
      <w:pPr>
        <w:pStyle w:val="713"/>
        <w:numPr>
          <w:ilvl w:val="0"/>
          <w:numId w:val="13"/>
        </w:numPr>
        <w:ind w:left="382"/>
        <w:tabs>
          <w:tab w:val="clear" w:pos="360" w:leader="none"/>
          <w:tab w:val="left" w:pos="382" w:leader="none"/>
        </w:tabs>
        <w:rPr>
          <w:b w:val="0"/>
          <w:color w:val="auto"/>
          <w:sz w:val="22"/>
          <w:szCs w:val="22"/>
          <w:lang w:val="az-Cyrl-AZ"/>
        </w:rPr>
      </w:pPr>
      <w:r>
        <w:rPr>
          <w:b w:val="0"/>
          <w:color w:val="auto"/>
          <w:sz w:val="22"/>
          <w:szCs w:val="22"/>
          <w:lang w:val="az-Cyrl-AZ"/>
        </w:rPr>
        <w:t xml:space="preserve">Минимальные отступы от красной линии жилых улиц  до жилого дома не менее  5  метров.</w:t>
      </w:r>
      <w:r>
        <w:rPr>
          <w:b w:val="0"/>
          <w:color w:val="auto"/>
          <w:sz w:val="22"/>
          <w:szCs w:val="22"/>
          <w:lang w:val="az-Cyrl-AZ"/>
        </w:rPr>
      </w:r>
    </w:p>
    <w:p>
      <w:pPr>
        <w:pStyle w:val="713"/>
        <w:ind w:left="22" w:firstLine="0"/>
        <w:tabs>
          <w:tab w:val="left" w:pos="382" w:leader="none"/>
        </w:tabs>
        <w:rPr>
          <w:b w:val="0"/>
          <w:color w:val="auto"/>
          <w:sz w:val="22"/>
          <w:szCs w:val="22"/>
          <w:lang w:val="az-Cyrl-AZ"/>
        </w:rPr>
      </w:pPr>
      <w:r>
        <w:rPr>
          <w:b w:val="0"/>
          <w:color w:val="auto"/>
          <w:sz w:val="22"/>
          <w:szCs w:val="22"/>
          <w:lang w:val="az-Cyrl-AZ"/>
        </w:rPr>
        <w:t xml:space="preserve">       Минимальные отступы от красной линии в условиях сложившейся застройки устанавливаются с </w:t>
      </w:r>
      <w:r>
        <w:rPr>
          <w:b w:val="0"/>
          <w:color w:val="auto"/>
          <w:sz w:val="22"/>
          <w:szCs w:val="22"/>
          <w:lang w:val="az-Cyrl-AZ"/>
        </w:rPr>
      </w:r>
    </w:p>
    <w:p>
      <w:pPr>
        <w:pStyle w:val="713"/>
        <w:ind w:left="22" w:firstLine="0"/>
        <w:tabs>
          <w:tab w:val="left" w:pos="382" w:leader="none"/>
        </w:tabs>
        <w:rPr>
          <w:b w:val="0"/>
          <w:color w:val="auto"/>
          <w:sz w:val="22"/>
          <w:szCs w:val="22"/>
          <w:lang w:val="az-Cyrl-AZ"/>
        </w:rPr>
      </w:pPr>
      <w:r>
        <w:rPr>
          <w:b w:val="0"/>
          <w:color w:val="auto"/>
          <w:sz w:val="22"/>
          <w:szCs w:val="22"/>
          <w:lang w:val="az-Cyrl-AZ"/>
        </w:rPr>
        <w:t xml:space="preserve">       учетом сложившейся линии застройки жилых улиц.</w:t>
      </w:r>
      <w:r>
        <w:rPr>
          <w:b w:val="0"/>
          <w:color w:val="auto"/>
          <w:sz w:val="22"/>
          <w:szCs w:val="22"/>
          <w:lang w:val="az-Cyrl-AZ"/>
        </w:rPr>
      </w:r>
    </w:p>
    <w:p>
      <w:pPr>
        <w:pStyle w:val="713"/>
        <w:numPr>
          <w:ilvl w:val="0"/>
          <w:numId w:val="13"/>
        </w:numPr>
        <w:ind w:left="382"/>
        <w:tabs>
          <w:tab w:val="clear" w:pos="360" w:leader="none"/>
          <w:tab w:val="left" w:pos="382" w:leader="none"/>
        </w:tabs>
        <w:rPr>
          <w:b w:val="0"/>
          <w:color w:val="auto"/>
          <w:sz w:val="22"/>
          <w:szCs w:val="22"/>
          <w:lang w:val="az-Cyrl-AZ"/>
        </w:rPr>
      </w:pPr>
      <w:r>
        <w:rPr>
          <w:b w:val="0"/>
          <w:color w:val="auto"/>
          <w:sz w:val="22"/>
          <w:szCs w:val="22"/>
          <w:lang w:val="az-Cyrl-AZ"/>
        </w:rPr>
        <w:t xml:space="preserve">Для видов разрешенного использования: индивидуальные жилые дома; блокированные жилые дома ограждения по границе с соседними земельными участками должны быть проветриваемыми (заполнение не более 50%), высотой до 2,0 метров, отвечать требованиям </w:t>
      </w:r>
      <w:r>
        <w:rPr>
          <w:b w:val="0"/>
          <w:color w:val="auto"/>
          <w:sz w:val="22"/>
          <w:szCs w:val="22"/>
          <w:lang w:val="ru-RU"/>
        </w:rPr>
        <w:t xml:space="preserve">показателя освещенности (инсоляции).</w:t>
      </w:r>
      <w:r>
        <w:rPr>
          <w:b w:val="0"/>
          <w:color w:val="auto"/>
          <w:sz w:val="22"/>
          <w:szCs w:val="22"/>
          <w:lang w:val="az-Cyrl-AZ"/>
        </w:rPr>
        <w:t xml:space="preserve"> </w:t>
      </w:r>
      <w:r>
        <w:rPr>
          <w:b w:val="0"/>
          <w:color w:val="auto"/>
          <w:sz w:val="22"/>
          <w:szCs w:val="22"/>
          <w:lang w:val="az-Cyrl-AZ"/>
        </w:rPr>
      </w:r>
    </w:p>
    <w:p>
      <w:pPr>
        <w:pStyle w:val="713"/>
        <w:ind w:left="382" w:firstLine="0"/>
        <w:rPr>
          <w:b w:val="0"/>
          <w:color w:val="auto"/>
          <w:sz w:val="22"/>
          <w:szCs w:val="22"/>
          <w:lang w:val="az-Cyrl-AZ"/>
        </w:rPr>
      </w:pPr>
      <w:r>
        <w:rPr>
          <w:b w:val="0"/>
          <w:color w:val="auto"/>
          <w:sz w:val="22"/>
          <w:szCs w:val="22"/>
          <w:lang w:val="az-Cyrl-AZ"/>
        </w:rPr>
        <w:t xml:space="preserve">Ограждение участка производит тот землевладелец, землепользователь, которому это ограждение необходимо, при этом ограждение становится строго на своем земельном участке и является его собственностью.</w:t>
      </w:r>
      <w:r>
        <w:rPr>
          <w:b w:val="0"/>
          <w:color w:val="auto"/>
          <w:sz w:val="22"/>
          <w:szCs w:val="22"/>
          <w:lang w:val="az-Cyrl-AZ"/>
        </w:rPr>
      </w:r>
    </w:p>
    <w:p>
      <w:pPr>
        <w:pStyle w:val="713"/>
        <w:ind w:left="382" w:firstLine="0"/>
        <w:rPr>
          <w:b w:val="0"/>
          <w:bCs w:val="0"/>
          <w:color w:val="auto"/>
          <w:sz w:val="22"/>
          <w:szCs w:val="22"/>
          <w:lang w:val="az-Cyrl-AZ"/>
        </w:rPr>
      </w:pPr>
      <w:r>
        <w:rPr>
          <w:b w:val="0"/>
          <w:color w:val="auto"/>
          <w:sz w:val="22"/>
          <w:szCs w:val="22"/>
          <w:lang w:val="az-Cyrl-AZ"/>
        </w:rPr>
        <w:t xml:space="preserve">Для вида разрешенного использования малоэтажные  многоквартирные жилые дома ограждения устанавливаются в соответствии со Сводом Правил </w:t>
      </w:r>
      <w:r>
        <w:rPr>
          <w:b w:val="0"/>
          <w:sz w:val="22"/>
          <w:szCs w:val="22"/>
          <w:lang w:val="ru-RU"/>
        </w:rPr>
        <w:t xml:space="preserve">"СП 30-102-99. Планировка и застройка территорий малоэтажного жилищного строительства"</w:t>
      </w:r>
      <w:r>
        <w:rPr>
          <w:b w:val="0"/>
          <w:bCs w:val="0"/>
          <w:color w:val="auto"/>
          <w:sz w:val="22"/>
          <w:szCs w:val="22"/>
          <w:lang w:val="az-Cyrl-AZ"/>
        </w:rPr>
      </w:r>
    </w:p>
    <w:p>
      <w:pPr>
        <w:pStyle w:val="713"/>
        <w:ind w:left="382" w:firstLine="0"/>
        <w:rPr>
          <w:b w:val="0"/>
          <w:color w:val="auto"/>
          <w:sz w:val="22"/>
          <w:szCs w:val="22"/>
          <w:lang w:val="ru-RU"/>
        </w:rPr>
      </w:pPr>
      <w:r>
        <w:rPr>
          <w:b w:val="0"/>
          <w:color w:val="auto"/>
          <w:sz w:val="22"/>
          <w:szCs w:val="22"/>
          <w:lang w:val="ru-RU"/>
        </w:rPr>
      </w:r>
      <w:r>
        <w:rPr>
          <w:b w:val="0"/>
          <w:color w:val="auto"/>
          <w:sz w:val="22"/>
          <w:szCs w:val="22"/>
          <w:lang w:val="ru-RU"/>
        </w:rPr>
      </w:r>
    </w:p>
    <w:p>
      <w:pPr>
        <w:pStyle w:val="713"/>
        <w:numPr>
          <w:ilvl w:val="0"/>
          <w:numId w:val="13"/>
        </w:numPr>
        <w:ind w:left="382"/>
        <w:tabs>
          <w:tab w:val="clear" w:pos="360" w:leader="none"/>
          <w:tab w:val="left" w:pos="382" w:leader="none"/>
        </w:tabs>
        <w:rPr>
          <w:b w:val="0"/>
          <w:color w:val="auto"/>
          <w:sz w:val="22"/>
          <w:szCs w:val="22"/>
          <w:lang w:val="az-Cyrl-AZ"/>
        </w:rPr>
      </w:pPr>
      <w:r>
        <w:rPr>
          <w:color w:val="auto"/>
          <w:sz w:val="22"/>
          <w:szCs w:val="22"/>
          <w:lang w:val="az-Cyrl-AZ"/>
        </w:rPr>
        <w:t xml:space="preserve"> </w:t>
      </w:r>
      <w:r>
        <w:rPr>
          <w:b w:val="0"/>
          <w:color w:val="auto"/>
          <w:sz w:val="22"/>
          <w:szCs w:val="22"/>
          <w:lang w:val="az-Cyrl-AZ"/>
        </w:rPr>
        <w:t xml:space="preserve">расстояния до границы сос</w:t>
      </w:r>
      <w:r>
        <w:rPr>
          <w:b w:val="0"/>
          <w:color w:val="auto"/>
          <w:sz w:val="22"/>
          <w:szCs w:val="22"/>
          <w:lang w:val="az-Cyrl-AZ"/>
        </w:rPr>
        <w:t xml:space="preserve">еднего участка по санитарно-бытовым условиям должны быть не менее:; от хозяйственных построек и вспомогательных сооружений, гаража, отдельно стоящих от основного здания  — 1 м; от стволов высокорослых деревьев —5 м; среднерослых — 2 м; от кустарника — 1м. </w:t>
      </w:r>
      <w:r>
        <w:rPr>
          <w:b w:val="0"/>
          <w:color w:val="auto"/>
          <w:sz w:val="22"/>
          <w:szCs w:val="22"/>
          <w:lang w:val="az-Cyrl-AZ"/>
        </w:rPr>
      </w:r>
    </w:p>
    <w:p>
      <w:pPr>
        <w:pStyle w:val="713"/>
        <w:ind w:left="382" w:firstLine="0"/>
        <w:rPr>
          <w:b w:val="0"/>
          <w:color w:val="auto"/>
          <w:sz w:val="22"/>
          <w:szCs w:val="22"/>
          <w:lang w:val="az-Cyrl-AZ"/>
        </w:rPr>
      </w:pPr>
      <w:r>
        <w:rPr>
          <w:rFonts w:eastAsia="Times New Roman"/>
          <w:b w:val="0"/>
          <w:color w:val="auto"/>
          <w:sz w:val="22"/>
          <w:szCs w:val="22"/>
          <w:lang w:val="az-Cyrl-AZ"/>
        </w:rPr>
        <w:t xml:space="preserve">Расстояния измеряются до наружных граней стен зданий , строений, сооружений.</w:t>
      </w:r>
      <w:r>
        <w:rPr>
          <w:b w:val="0"/>
          <w:color w:val="auto"/>
          <w:sz w:val="22"/>
          <w:szCs w:val="22"/>
          <w:lang w:val="az-Cyrl-AZ"/>
        </w:rPr>
      </w:r>
    </w:p>
    <w:p>
      <w:pPr>
        <w:pStyle w:val="713"/>
        <w:ind w:firstLine="0"/>
        <w:rPr>
          <w:b w:val="0"/>
          <w:color w:val="auto"/>
          <w:sz w:val="22"/>
          <w:szCs w:val="22"/>
          <w:lang w:val="az-Cyrl-AZ"/>
        </w:rPr>
      </w:pPr>
      <w:r>
        <w:rPr>
          <w:rFonts w:eastAsia="Times New Roman"/>
          <w:color w:val="auto"/>
          <w:sz w:val="22"/>
          <w:szCs w:val="22"/>
          <w:lang w:val="az-Cyrl-AZ"/>
        </w:rPr>
        <w:t xml:space="preserve">       </w:t>
      </w:r>
      <w:r>
        <w:rPr>
          <w:b w:val="0"/>
          <w:color w:val="auto"/>
          <w:sz w:val="22"/>
          <w:szCs w:val="22"/>
          <w:lang w:val="az-Cyrl-AZ"/>
        </w:rPr>
        <w:t xml:space="preserve">Расстояние  от отстойников сточных вод, компостных и выгребных ям – 5 м. </w:t>
      </w:r>
      <w:r>
        <w:rPr>
          <w:b w:val="0"/>
          <w:color w:val="auto"/>
          <w:sz w:val="22"/>
          <w:szCs w:val="22"/>
          <w:lang w:val="az-Cyrl-AZ"/>
        </w:rPr>
      </w:r>
    </w:p>
    <w:p>
      <w:pPr>
        <w:pStyle w:val="713"/>
        <w:ind w:left="382" w:firstLine="0"/>
        <w:rPr>
          <w:b w:val="0"/>
          <w:color w:val="auto"/>
          <w:sz w:val="22"/>
          <w:szCs w:val="22"/>
          <w:lang w:val="az-Cyrl-AZ"/>
        </w:rPr>
      </w:pPr>
      <w:r>
        <w:rPr>
          <w:b w:val="0"/>
          <w:color w:val="auto"/>
          <w:sz w:val="22"/>
          <w:szCs w:val="22"/>
          <w:lang w:val="az-Cyrl-AZ"/>
        </w:rPr>
        <w:t xml:space="preserve">Разрешается блокировка хозяйственных построек по взаимному согласию домовладельцев, с учетом противопожарных требований.</w:t>
      </w:r>
      <w:r>
        <w:rPr>
          <w:b w:val="0"/>
          <w:color w:val="auto"/>
          <w:sz w:val="22"/>
          <w:szCs w:val="22"/>
          <w:lang w:val="az-Cyrl-AZ"/>
        </w:rPr>
      </w:r>
    </w:p>
    <w:p>
      <w:pPr>
        <w:pStyle w:val="713"/>
        <w:numPr>
          <w:ilvl w:val="0"/>
          <w:numId w:val="13"/>
        </w:numPr>
        <w:spacing w:before="80" w:line="216" w:lineRule="auto"/>
        <w:tabs>
          <w:tab w:val="left" w:pos="360" w:leader="none"/>
          <w:tab w:val="left" w:pos="8144" w:leader="none"/>
        </w:tabs>
        <w:rPr>
          <w:b w:val="0"/>
          <w:bCs w:val="0"/>
          <w:color w:val="auto"/>
          <w:sz w:val="22"/>
          <w:szCs w:val="22"/>
          <w:lang w:val="az-Cyrl-AZ"/>
        </w:rPr>
      </w:pPr>
      <w:r>
        <w:rPr>
          <w:b w:val="0"/>
          <w:color w:val="auto"/>
          <w:sz w:val="22"/>
          <w:szCs w:val="22"/>
          <w:lang w:val="ru-RU"/>
        </w:rPr>
        <w:t xml:space="preserve">допускается пристройка хозяйственного сарая, гаража, бани, теплицы к усадебному дому с соблюдением требований санитарных, зооветеринарных и противопожарных норм</w:t>
      </w:r>
      <w:r>
        <w:rPr>
          <w:b w:val="0"/>
          <w:color w:val="auto"/>
          <w:sz w:val="22"/>
          <w:szCs w:val="22"/>
          <w:lang w:val="az-Cyrl-AZ"/>
        </w:rPr>
        <w:t xml:space="preserve">расстояния между жилым домом и хозяйственными постройками, а также между хозяйственными постройками в пределах одного земельного участка не нормируются;</w:t>
      </w:r>
      <w:r>
        <w:rPr>
          <w:b w:val="0"/>
          <w:bCs w:val="0"/>
          <w:color w:val="auto"/>
          <w:sz w:val="22"/>
          <w:szCs w:val="22"/>
          <w:lang w:val="az-Cyrl-AZ"/>
        </w:rPr>
      </w:r>
    </w:p>
    <w:p>
      <w:pPr>
        <w:pStyle w:val="713"/>
        <w:numPr>
          <w:ilvl w:val="0"/>
          <w:numId w:val="13"/>
        </w:numPr>
        <w:spacing w:before="80" w:line="216" w:lineRule="auto"/>
        <w:tabs>
          <w:tab w:val="left" w:pos="360" w:leader="none"/>
          <w:tab w:val="left" w:pos="8144" w:leader="none"/>
        </w:tabs>
        <w:rPr>
          <w:b w:val="0"/>
          <w:bCs w:val="0"/>
          <w:color w:val="auto"/>
          <w:sz w:val="22"/>
          <w:szCs w:val="22"/>
          <w:lang w:val="az-Cyrl-AZ"/>
        </w:rPr>
      </w:pPr>
      <w:r>
        <w:rPr>
          <w:b w:val="0"/>
          <w:color w:val="auto"/>
          <w:sz w:val="22"/>
          <w:szCs w:val="22"/>
          <w:lang w:val="az-Cyrl-AZ"/>
        </w:rPr>
        <w:t xml:space="preserve">при строительстве  отдельно стоящих вспомогательных строений и сооружений высотой более 3-х метров (до конька или  иной наивысшей  точки крыши), расстояние от  границы участка, увеличивается на 50 см. на каждый метр  превышения.  </w:t>
      </w:r>
      <w:r>
        <w:rPr>
          <w:b w:val="0"/>
          <w:bCs w:val="0"/>
          <w:color w:val="auto"/>
          <w:sz w:val="22"/>
          <w:szCs w:val="22"/>
          <w:lang w:val="az-Cyrl-AZ"/>
        </w:rPr>
      </w:r>
    </w:p>
    <w:p>
      <w:pPr>
        <w:pStyle w:val="713"/>
        <w:numPr>
          <w:ilvl w:val="0"/>
          <w:numId w:val="13"/>
        </w:numPr>
        <w:spacing w:before="80" w:line="216" w:lineRule="auto"/>
        <w:tabs>
          <w:tab w:val="left" w:pos="360" w:leader="none"/>
          <w:tab w:val="left" w:pos="8144" w:leader="none"/>
        </w:tabs>
        <w:rPr>
          <w:b w:val="0"/>
          <w:bCs w:val="0"/>
          <w:color w:val="auto"/>
          <w:sz w:val="22"/>
          <w:szCs w:val="22"/>
          <w:lang w:val="az-Cyrl-AZ"/>
        </w:rPr>
      </w:pPr>
      <w:r>
        <w:rPr>
          <w:b w:val="0"/>
          <w:color w:val="auto"/>
          <w:sz w:val="22"/>
          <w:szCs w:val="22"/>
          <w:lang w:val="az-Cyrl-AZ"/>
        </w:rPr>
        <w:t xml:space="preserve">уклон крыши построек, располагаемых на расстоянии менее 1,5 м от соседнего участка, должен быть в сторону противоположную границе участка.</w:t>
      </w:r>
      <w:r>
        <w:rPr>
          <w:b w:val="0"/>
          <w:bCs w:val="0"/>
          <w:color w:val="auto"/>
          <w:sz w:val="22"/>
          <w:szCs w:val="22"/>
          <w:lang w:val="az-Cyrl-AZ"/>
        </w:rPr>
      </w:r>
    </w:p>
    <w:p>
      <w:pPr>
        <w:pStyle w:val="713"/>
        <w:numPr>
          <w:ilvl w:val="0"/>
          <w:numId w:val="13"/>
        </w:numPr>
        <w:spacing w:before="80" w:line="216" w:lineRule="auto"/>
        <w:tabs>
          <w:tab w:val="left" w:pos="360" w:leader="none"/>
          <w:tab w:val="left" w:pos="8144" w:leader="none"/>
        </w:tabs>
        <w:rPr>
          <w:b w:val="0"/>
          <w:bCs w:val="0"/>
          <w:color w:val="auto"/>
          <w:sz w:val="22"/>
          <w:szCs w:val="22"/>
          <w:lang w:val="az-Cyrl-AZ"/>
        </w:rPr>
      </w:pPr>
      <w:r>
        <w:rPr>
          <w:b w:val="0"/>
          <w:color w:val="auto"/>
          <w:sz w:val="22"/>
          <w:szCs w:val="22"/>
          <w:lang w:val="az-Cyrl-AZ"/>
        </w:rPr>
        <w:t xml:space="preserve">высота хозяйственных построек не должна нарушать условий инсоляции соседних земельных </w:t>
      </w:r>
      <w:r>
        <w:rPr>
          <w:b w:val="0"/>
          <w:color w:val="auto"/>
          <w:sz w:val="22"/>
          <w:szCs w:val="22"/>
          <w:lang w:val="az-Cyrl-AZ"/>
        </w:rPr>
        <w:tab/>
        <w:t xml:space="preserve">участков;</w:t>
      </w:r>
      <w:r>
        <w:rPr>
          <w:b w:val="0"/>
          <w:bCs w:val="0"/>
          <w:color w:val="auto"/>
          <w:sz w:val="22"/>
          <w:szCs w:val="22"/>
          <w:lang w:val="az-Cyrl-AZ"/>
        </w:rPr>
      </w:r>
    </w:p>
    <w:p>
      <w:pPr>
        <w:pStyle w:val="713"/>
        <w:numPr>
          <w:ilvl w:val="0"/>
          <w:numId w:val="13"/>
        </w:numPr>
        <w:spacing w:before="80" w:line="216" w:lineRule="auto"/>
        <w:tabs>
          <w:tab w:val="left" w:pos="360" w:leader="none"/>
          <w:tab w:val="left" w:pos="8144" w:leader="none"/>
        </w:tabs>
        <w:rPr>
          <w:b w:val="0"/>
          <w:bCs w:val="0"/>
          <w:color w:val="auto"/>
          <w:sz w:val="22"/>
          <w:szCs w:val="22"/>
          <w:lang w:val="az-Cyrl-AZ"/>
        </w:rPr>
      </w:pPr>
      <w:r>
        <w:rPr>
          <w:b w:val="0"/>
          <w:color w:val="auto"/>
          <w:sz w:val="22"/>
          <w:szCs w:val="22"/>
          <w:lang w:val="az-Cyrl-AZ"/>
        </w:rPr>
        <w:t xml:space="preserve">При устройстве на участке  колодцев и отстойников сточных вод следует руководствоваться  требовниями  СанПиН 2.1.4.1075-02.</w:t>
      </w:r>
      <w:r>
        <w:rPr>
          <w:b w:val="0"/>
          <w:bCs w:val="0"/>
          <w:color w:val="auto"/>
          <w:sz w:val="22"/>
          <w:szCs w:val="22"/>
          <w:lang w:val="az-Cyrl-AZ"/>
        </w:rPr>
      </w:r>
    </w:p>
    <w:p>
      <w:pPr>
        <w:pStyle w:val="713"/>
        <w:numPr>
          <w:ilvl w:val="0"/>
          <w:numId w:val="13"/>
        </w:numPr>
        <w:spacing w:before="80" w:line="216" w:lineRule="auto"/>
        <w:tabs>
          <w:tab w:val="left" w:pos="360" w:leader="none"/>
          <w:tab w:val="left" w:pos="8144" w:leader="none"/>
        </w:tabs>
        <w:rPr>
          <w:b w:val="0"/>
          <w:bCs w:val="0"/>
          <w:color w:val="auto"/>
          <w:sz w:val="22"/>
          <w:szCs w:val="22"/>
          <w:lang w:val="az-Cyrl-AZ"/>
        </w:rPr>
      </w:pPr>
      <w:r>
        <w:rPr>
          <w:b w:val="0"/>
          <w:color w:val="auto"/>
          <w:sz w:val="22"/>
          <w:szCs w:val="22"/>
          <w:lang w:val="az-Cyrl-AZ"/>
        </w:rPr>
        <w:t xml:space="preserve">запрещается устройство индивидуальных отстойников за пределами своих участков.</w:t>
      </w:r>
      <w:r>
        <w:rPr>
          <w:b w:val="0"/>
          <w:bCs w:val="0"/>
          <w:color w:val="auto"/>
          <w:sz w:val="22"/>
          <w:szCs w:val="22"/>
          <w:lang w:val="az-Cyrl-AZ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</w:r>
      <w:r>
        <w:rPr>
          <w:rFonts w:ascii="Times New Roman" w:hAnsi="Times New Roman" w:cs="Times New Roman"/>
          <w:sz w:val="28"/>
          <w:szCs w:val="28"/>
          <w:lang w:val="az-Cyrl-AZ"/>
        </w:rPr>
      </w:r>
    </w:p>
    <w:p>
      <w:pPr>
        <w:pStyle w:val="698"/>
        <w:numPr>
          <w:ilvl w:val="0"/>
          <w:numId w:val="9"/>
        </w:numPr>
        <w:ind w:left="0" w:firstLine="709"/>
        <w:jc w:val="both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Место, сроки подачи заявок, дата, время проведения аукциона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rPr>
          <w:color w:val="auto"/>
          <w:sz w:val="28"/>
          <w:szCs w:val="28"/>
        </w:rPr>
        <w:pBdr>
          <w:bottom w:val="none" w:color="000000" w:sz="4" w:space="1"/>
        </w:pBdr>
      </w:pPr>
      <w:r>
        <w:rPr>
          <w:color w:val="auto"/>
          <w:sz w:val="28"/>
          <w:szCs w:val="28"/>
        </w:rPr>
        <w:t xml:space="preserve">Место подачи (приема) Заявок: электронная площадка: адрес местонахождения: 115114, г. Москва, ул. </w:t>
      </w:r>
      <w:r>
        <w:rPr>
          <w:color w:val="auto"/>
          <w:sz w:val="28"/>
          <w:szCs w:val="28"/>
        </w:rPr>
        <w:t xml:space="preserve">Кожевническая</w:t>
      </w:r>
      <w:r>
        <w:rPr>
          <w:color w:val="auto"/>
          <w:sz w:val="28"/>
          <w:szCs w:val="28"/>
        </w:rPr>
        <w:t xml:space="preserve">, д. 14, стр. 5, </w:t>
      </w:r>
      <w:r>
        <w:rPr>
          <w:color w:val="auto"/>
          <w:sz w:val="28"/>
          <w:szCs w:val="28"/>
        </w:rPr>
        <w:t xml:space="preserve">                  </w:t>
      </w:r>
      <w:r>
        <w:rPr>
          <w:color w:val="auto"/>
          <w:sz w:val="28"/>
          <w:szCs w:val="28"/>
        </w:rPr>
        <w:t xml:space="preserve">тел. +8 (495</w:t>
      </w:r>
      <w:r>
        <w:rPr>
          <w:color w:val="auto"/>
          <w:sz w:val="28"/>
          <w:szCs w:val="28"/>
        </w:rPr>
        <w:t xml:space="preserve">) 276-16-26, официальный сайт </w:t>
      </w:r>
      <w:hyperlink r:id="rId12" w:tooltip="http://www.roseltorg.ru" w:history="1">
        <w:r>
          <w:rPr>
            <w:color w:val="auto"/>
            <w:sz w:val="28"/>
            <w:szCs w:val="28"/>
            <w:u w:val="single"/>
          </w:rPr>
          <w:t xml:space="preserve">www.roseltorg.ru</w:t>
        </w:r>
      </w:hyperlink>
      <w:r>
        <w:rPr>
          <w:color w:val="auto"/>
          <w:sz w:val="28"/>
          <w:szCs w:val="28"/>
          <w:u w:val="single"/>
        </w:rPr>
        <w:t xml:space="preserve">.</w:t>
      </w:r>
      <w:r>
        <w:rPr>
          <w:color w:val="auto"/>
          <w:sz w:val="28"/>
          <w:szCs w:val="28"/>
        </w:rPr>
      </w:r>
    </w:p>
    <w:p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Начало приема заявок</w:t>
      </w:r>
      <w:r>
        <w:rPr>
          <w:rFonts w:ascii="Times New Roman" w:hAnsi="Times New Roman" w:cs="Times New Roman"/>
          <w:bCs/>
          <w:sz w:val="28"/>
          <w:szCs w:val="28"/>
        </w:rPr>
        <w:t xml:space="preserve">: 2</w:t>
      </w:r>
      <w:r>
        <w:rPr>
          <w:rFonts w:ascii="Times New Roman" w:hAnsi="Times New Roman" w:cs="Times New Roman"/>
          <w:bCs/>
          <w:sz w:val="28"/>
          <w:szCs w:val="28"/>
        </w:rPr>
        <w:t xml:space="preserve">1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  <w:t xml:space="preserve">11</w:t>
      </w:r>
      <w:r>
        <w:rPr>
          <w:rFonts w:ascii="Times New Roman" w:hAnsi="Times New Roman" w:cs="Times New Roman"/>
          <w:bCs/>
          <w:sz w:val="28"/>
          <w:szCs w:val="28"/>
        </w:rPr>
        <w:t xml:space="preserve">.2025 в 08 час. 00 мин.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Окончание приема заявок: </w:t>
      </w:r>
      <w:r>
        <w:rPr>
          <w:rFonts w:ascii="Times New Roman" w:hAnsi="Times New Roman" w:cs="Times New Roman"/>
          <w:bCs/>
          <w:sz w:val="28"/>
          <w:szCs w:val="28"/>
        </w:rPr>
        <w:t xml:space="preserve">16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  <w:t xml:space="preserve">12</w:t>
      </w:r>
      <w:r>
        <w:rPr>
          <w:rFonts w:ascii="Times New Roman" w:hAnsi="Times New Roman" w:cs="Times New Roman"/>
          <w:bCs/>
          <w:sz w:val="28"/>
          <w:szCs w:val="28"/>
        </w:rPr>
        <w:t xml:space="preserve">.2025 в 17 час. 00 мин.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tabs>
          <w:tab w:val="left" w:pos="284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Рассмотрение заявок (определение участников): 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tabs>
          <w:tab w:val="left" w:pos="284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18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  <w:t xml:space="preserve">12</w:t>
      </w:r>
      <w:r>
        <w:rPr>
          <w:rFonts w:ascii="Times New Roman" w:hAnsi="Times New Roman" w:cs="Times New Roman"/>
          <w:bCs/>
          <w:sz w:val="28"/>
          <w:szCs w:val="28"/>
        </w:rPr>
        <w:t xml:space="preserve">.2025 в 11 час. 00 мин.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tabs>
          <w:tab w:val="left" w:pos="284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аукциона (дата и время начала приема предложений от участников аукциона) </w:t>
      </w:r>
      <w:r>
        <w:rPr>
          <w:rFonts w:ascii="Times New Roman" w:hAnsi="Times New Roman" w:cs="Times New Roman"/>
          <w:sz w:val="28"/>
          <w:szCs w:val="28"/>
        </w:rPr>
        <w:t xml:space="preserve">– 2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12</w:t>
      </w:r>
      <w:r>
        <w:rPr>
          <w:rFonts w:ascii="Times New Roman" w:hAnsi="Times New Roman" w:cs="Times New Roman"/>
          <w:sz w:val="28"/>
          <w:szCs w:val="28"/>
        </w:rPr>
        <w:t xml:space="preserve">.2025 в </w:t>
      </w:r>
      <w:r>
        <w:rPr>
          <w:rFonts w:ascii="Times New Roman" w:hAnsi="Times New Roman" w:cs="Times New Roman"/>
          <w:sz w:val="28"/>
          <w:szCs w:val="28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 xml:space="preserve"> час. 00 мин.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both"/>
        <w:tabs>
          <w:tab w:val="left" w:pos="284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Место и срок подведения итогов аукциона: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tabs>
          <w:tab w:val="left" w:pos="284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электронная площадка - АО «ЕЭТП» 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12</w:t>
      </w:r>
      <w:r>
        <w:rPr>
          <w:rFonts w:ascii="Times New Roman" w:hAnsi="Times New Roman" w:cs="Times New Roman"/>
          <w:sz w:val="28"/>
          <w:szCs w:val="28"/>
        </w:rPr>
        <w:t xml:space="preserve">.2025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tabs>
          <w:tab w:val="left" w:pos="284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numPr>
          <w:ilvl w:val="0"/>
          <w:numId w:val="9"/>
        </w:numPr>
        <w:jc w:val="center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участия в аукционе в электронной форме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>
        <w:rPr>
          <w:rFonts w:ascii="Times New Roman" w:hAnsi="Times New Roman" w:cs="Times New Roman"/>
          <w:sz w:val="28"/>
          <w:szCs w:val="28"/>
        </w:rPr>
        <w:t xml:space="preserve">аукционе</w:t>
      </w:r>
      <w:r>
        <w:rPr>
          <w:rFonts w:ascii="Times New Roman" w:hAnsi="Times New Roman" w:cs="Times New Roman"/>
          <w:sz w:val="28"/>
          <w:szCs w:val="28"/>
        </w:rPr>
        <w:t xml:space="preserve"> (лично или через представителя) претендент обязан: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внести задаток в указанном в настоящем информационном сообщении порядке;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установленном порядке подать заявку по форме, указанной в приложении к настоящему информационному сообщению </w:t>
      </w:r>
      <w:r>
        <w:rPr>
          <w:rFonts w:ascii="Times New Roman" w:hAnsi="Times New Roman" w:cs="Times New Roman"/>
          <w:iCs/>
          <w:sz w:val="28"/>
          <w:szCs w:val="28"/>
        </w:rPr>
        <w:t xml:space="preserve">(приложение 1).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tabs>
          <w:tab w:val="left" w:pos="393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доступа к участию в аукционе в электронной форме претендентам необходимо пройти процедуру регистрации на </w:t>
      </w:r>
      <w:r>
        <w:rPr>
          <w:rFonts w:ascii="Times New Roman" w:hAnsi="Times New Roman" w:cs="Times New Roman"/>
          <w:sz w:val="28"/>
          <w:szCs w:val="28"/>
        </w:rPr>
        <w:t xml:space="preserve">электронной площадке АО «Единая электронная торговая площадка» в соответствии с Регламентом электронной площадки. Ограничения участия отдельных категорий физических и юридических лиц устанавливаются в соответствии с законодательством Российской Федерации.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Обязанность доказать свое право на участие в аукционе в электронной форме возлагается на претендента.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numPr>
          <w:ilvl w:val="0"/>
          <w:numId w:val="9"/>
        </w:numPr>
        <w:jc w:val="center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Порядок, срок внесения задатка и его возврата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внесения задатка на участие в аукционе в электронной форме Оператор электронной площадки при аккредитации участника аренды открывает ему спе</w:t>
      </w:r>
      <w:r>
        <w:rPr>
          <w:rFonts w:ascii="Times New Roman" w:hAnsi="Times New Roman" w:cs="Times New Roman"/>
          <w:sz w:val="28"/>
          <w:szCs w:val="28"/>
        </w:rPr>
        <w:t xml:space="preserve">циальный счет для проведения операций по обеспечению участия в электронных торгах. Одновременно с уведомлением об аккредитации на электронной площадке, Оператор электронной площадки направляет вновь аккредитованному участнику аренды реквизиты этого счета.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момента подачи заявки на участие в аукционе в электронно</w:t>
      </w:r>
      <w:r>
        <w:rPr>
          <w:rFonts w:ascii="Times New Roman" w:hAnsi="Times New Roman" w:cs="Times New Roman"/>
          <w:sz w:val="28"/>
          <w:szCs w:val="28"/>
        </w:rPr>
        <w:t xml:space="preserve">й форме претендент должен обеспечить наличие денежных средств в размере задатка на участие в продаже на своем, открытом у Оператора электронной площадки, счете для проведения операций по обеспечению участия в электронных торгах. Участие в аукционе в электр</w:t>
      </w:r>
      <w:r>
        <w:rPr>
          <w:rFonts w:ascii="Times New Roman" w:hAnsi="Times New Roman" w:cs="Times New Roman"/>
          <w:sz w:val="28"/>
          <w:szCs w:val="28"/>
        </w:rPr>
        <w:t xml:space="preserve">онной форме возможно лишь при наличии у участника аренды на данном счете денежных средств, в отношении которых не осуществлено блокирование операций по счету, в размере задатка на участие в аукционе в электронной форме, предусмотренного информационным сооб</w:t>
      </w:r>
      <w:r>
        <w:rPr>
          <w:rFonts w:ascii="Times New Roman" w:hAnsi="Times New Roman" w:cs="Times New Roman"/>
          <w:sz w:val="28"/>
          <w:szCs w:val="28"/>
        </w:rPr>
        <w:t xml:space="preserve">щением. Для перевода денежных средств на свой лицевой счет необходимо осуществить банковский платеж на реквизиты, полученные при аккредитации в системном сообщении от электронной площадки, а также указать назначение платежа-задаток для участия в аукционе.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 электронной площадки производит блокирование денежных средств в размере задатка на лицевом счете претендента в момент подачи заявки на участие в аукционе в электронной форме.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(не поступления) в указанный срок суммы задатка, обязательства претендента по внесению задатка считаются неисполненными, и претендент к участию в аукционе в электронной форме не допускается.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Прекращение блокирования денежных средств на лицевом счете претендентов (участников) осуществляет Оператор электронной площадки в порядке, установленном Регламентом электронной торговой площадки АО «Единая электронная торговая площадка»: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претендентам, отозвавшим заявки до окончания срока подачи заявок, - в течение 5 (пяти) календарных дней со дня формирования уведомления об отзыве заявки в личном кабинете претендента;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претендентам, отозвавшим заявки позднее дня окончания приема заявок, либо в случае признания аукциона несостоявшимся - в течение 5 (пяти) календарных дней со дня подписания протокола о признании претендентов участниками аренды имущества;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претендентам, не допущенным к участию в аукционе, - в течение 5 (пяти) календарных дней со дня подписания протокола о признании претендентов участниками аренды имущества;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участникам, не признанным победителями, - в течение 5 (пяти) календарных дней со дня подведения итогов аренды имущества.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информационное сообщение является публичной офертой дл</w:t>
      </w:r>
      <w:r>
        <w:rPr>
          <w:rFonts w:ascii="Times New Roman" w:hAnsi="Times New Roman" w:cs="Times New Roman"/>
          <w:sz w:val="28"/>
          <w:szCs w:val="28"/>
        </w:rPr>
        <w:t xml:space="preserve">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numPr>
          <w:ilvl w:val="0"/>
          <w:numId w:val="9"/>
        </w:numPr>
        <w:jc w:val="center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подачи заявок на участие в аукционе в электронной форме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 заявки на участие в аукционе в электронной форме осуществляется претендентом из личного кабинета посредством штатного интерфейса. Заявки подаются путем заполнения форм, представленных в Приложени</w:t>
      </w:r>
      <w:r>
        <w:rPr>
          <w:rFonts w:ascii="Times New Roman" w:hAnsi="Times New Roman" w:cs="Times New Roman"/>
          <w:sz w:val="28"/>
          <w:szCs w:val="28"/>
        </w:rPr>
        <w:t xml:space="preserve">и к настоящему информационному сообщению, и размещения их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 www.roseltorg.ru.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 лицо имеет</w:t>
      </w:r>
      <w:r>
        <w:rPr>
          <w:rFonts w:ascii="Times New Roman" w:hAnsi="Times New Roman" w:cs="Times New Roman"/>
          <w:sz w:val="28"/>
          <w:szCs w:val="28"/>
        </w:rPr>
        <w:t xml:space="preserve"> право подать только одну заявку. Заявки подаются, начиная с даты и времени начала приема заявок до даты и времени окончания приема заявок, указанных в настоящем информационном сообщении. Заявки подаются и принимаются одновременно с полным комплектом требу</w:t>
      </w:r>
      <w:r>
        <w:rPr>
          <w:rFonts w:ascii="Times New Roman" w:hAnsi="Times New Roman" w:cs="Times New Roman"/>
          <w:sz w:val="28"/>
          <w:szCs w:val="28"/>
        </w:rPr>
        <w:t xml:space="preserve">емых для участия в аукционе в электронной форме документов. Заявка и приложенные к ней документы должны быть подписаны электронной подписью Претендента (его уполномоченного представителя). При приеме заявок от претендентов Оператор электронной площадки обе</w:t>
      </w:r>
      <w:r>
        <w:rPr>
          <w:rFonts w:ascii="Times New Roman" w:hAnsi="Times New Roman" w:cs="Times New Roman"/>
          <w:sz w:val="28"/>
          <w:szCs w:val="28"/>
        </w:rPr>
        <w:t xml:space="preserve">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Время создания, получения и отправки электронных документов на электронной площадке, а также время про</w:t>
      </w:r>
      <w:r>
        <w:rPr>
          <w:rFonts w:ascii="Times New Roman" w:hAnsi="Times New Roman" w:cs="Times New Roman"/>
          <w:sz w:val="28"/>
          <w:szCs w:val="28"/>
        </w:rPr>
        <w:t xml:space="preserve">ведения процедуры аренды государственного имущества соответствует местному времени, в котором функционирует электронная торговая площадка. Заявки, поступившие по истечении срока их приема, Оператором электронной площадки не принимаются и на электронной тор</w:t>
      </w:r>
      <w:r>
        <w:rPr>
          <w:rFonts w:ascii="Times New Roman" w:hAnsi="Times New Roman" w:cs="Times New Roman"/>
          <w:sz w:val="28"/>
          <w:szCs w:val="28"/>
        </w:rPr>
        <w:t xml:space="preserve">говой площадке не регистрируются.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</w:t>
      </w:r>
      <w:r>
        <w:rPr>
          <w:rFonts w:ascii="Times New Roman" w:hAnsi="Times New Roman" w:cs="Times New Roman"/>
          <w:sz w:val="28"/>
          <w:szCs w:val="28"/>
        </w:rPr>
        <w:t xml:space="preserve">к ней документов. 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площадку. В случае отзыва претендентом заявки уведомление об отзыве заявки вместе с заявкой в </w:t>
      </w:r>
      <w:r>
        <w:rPr>
          <w:rFonts w:ascii="Times New Roman" w:hAnsi="Times New Roman" w:cs="Times New Roman"/>
          <w:sz w:val="28"/>
          <w:szCs w:val="28"/>
        </w:rPr>
        <w:t xml:space="preserve">течение одного часа поступает в «личный кабинет» Продавца, о чем претенденту направляется соответствующее уведомление.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numPr>
          <w:ilvl w:val="0"/>
          <w:numId w:val="9"/>
        </w:numPr>
        <w:jc w:val="center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требуемых документов для участия в аукционе и требования к их оформлению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аукционе лица, желающие принять участие в аукционе на право на заключение договора аренды земельного участка, подают в уполномоченный орган следующие документы: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заявку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документов, удостоверяющих личность заявителя (для граждан);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tabs>
          <w:tab w:val="left" w:pos="731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подтверждающие внесение задатка.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tabs>
          <w:tab w:val="left" w:pos="731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ексты заявок и иных документов </w:t>
      </w:r>
      <w:r>
        <w:rPr>
          <w:rFonts w:ascii="Times New Roman" w:hAnsi="Times New Roman" w:cs="Times New Roman"/>
          <w:sz w:val="28"/>
          <w:szCs w:val="28"/>
        </w:rPr>
        <w:t xml:space="preserve">должны быть </w:t>
      </w:r>
      <w:r>
        <w:rPr>
          <w:rFonts w:ascii="Times New Roman" w:hAnsi="Times New Roman" w:cs="Times New Roman"/>
          <w:sz w:val="28"/>
          <w:szCs w:val="28"/>
        </w:rPr>
        <w:t xml:space="preserve">написаны разборчиво, наименование юридических лиц, имена физических лиц - без сокращений, с указанием их мест нахождения и банковских реквизитов, с расшифровкой подписей лиц, подписавших заявки на участие;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tabs>
          <w:tab w:val="left" w:pos="731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документах не</w:t>
      </w:r>
      <w:r>
        <w:rPr>
          <w:rFonts w:ascii="Times New Roman" w:hAnsi="Times New Roman" w:cs="Times New Roman"/>
          <w:sz w:val="28"/>
          <w:szCs w:val="28"/>
        </w:rPr>
        <w:t xml:space="preserve"> должно быть</w:t>
      </w:r>
      <w:r>
        <w:rPr>
          <w:rFonts w:ascii="Times New Roman" w:hAnsi="Times New Roman" w:cs="Times New Roman"/>
          <w:sz w:val="28"/>
          <w:szCs w:val="28"/>
        </w:rPr>
        <w:t xml:space="preserve"> подчисток, приписок, зачеркнутых слов и иных неоговоренных исправлений;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tabs>
          <w:tab w:val="left" w:pos="731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не </w:t>
      </w:r>
      <w:r>
        <w:rPr>
          <w:rFonts w:ascii="Times New Roman" w:hAnsi="Times New Roman" w:cs="Times New Roman"/>
          <w:sz w:val="28"/>
          <w:szCs w:val="28"/>
        </w:rPr>
        <w:t xml:space="preserve">могут быть </w:t>
      </w:r>
      <w:r>
        <w:rPr>
          <w:rFonts w:ascii="Times New Roman" w:hAnsi="Times New Roman" w:cs="Times New Roman"/>
          <w:sz w:val="28"/>
          <w:szCs w:val="28"/>
        </w:rPr>
        <w:t xml:space="preserve">заполнены карандашом;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tabs>
          <w:tab w:val="left" w:pos="731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не</w:t>
      </w:r>
      <w:r>
        <w:rPr>
          <w:rFonts w:ascii="Times New Roman" w:hAnsi="Times New Roman" w:cs="Times New Roman"/>
          <w:sz w:val="28"/>
          <w:szCs w:val="28"/>
        </w:rPr>
        <w:t xml:space="preserve"> должны </w:t>
      </w:r>
      <w:r>
        <w:rPr>
          <w:rFonts w:ascii="Times New Roman" w:hAnsi="Times New Roman" w:cs="Times New Roman"/>
          <w:sz w:val="28"/>
          <w:szCs w:val="28"/>
        </w:rPr>
        <w:t xml:space="preserve">име</w:t>
      </w:r>
      <w:r>
        <w:rPr>
          <w:rFonts w:ascii="Times New Roman" w:hAnsi="Times New Roman" w:cs="Times New Roman"/>
          <w:sz w:val="28"/>
          <w:szCs w:val="28"/>
        </w:rPr>
        <w:t xml:space="preserve">ть</w:t>
      </w:r>
      <w:r>
        <w:rPr>
          <w:rFonts w:ascii="Times New Roman" w:hAnsi="Times New Roman" w:cs="Times New Roman"/>
          <w:sz w:val="28"/>
          <w:szCs w:val="28"/>
        </w:rPr>
        <w:t xml:space="preserve"> серьезных повреждений, наличие которых не позволяет однозначно истолковать их содержание.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документов, подтверждающих внесение задатка, признается заключением соглашения о задатке.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претендентом указанных требований означает, что заявка и документы, представляемые одновременно с заявкой, поданы от имени претендента.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подлежат рассмотрению документы, исполненные карандашом, имеющие подчистки, приписки, иные не оговоренные в них исправления.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Исправления, внесенные при необходимости, должны быть заверены подписью должностного лица и проставлением печати юридического лица (при </w:t>
      </w:r>
      <w:r>
        <w:rPr>
          <w:rFonts w:ascii="Times New Roman" w:hAnsi="Times New Roman" w:cs="Times New Roman"/>
          <w:sz w:val="28"/>
          <w:szCs w:val="28"/>
        </w:rPr>
        <w:t xml:space="preserve">наличии печати), их совершивших. Если документ оформлен нотариально, соответствующие исправления должны быть также подтверждены нотариусом.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</w:t>
      </w:r>
      <w:r>
        <w:rPr>
          <w:rFonts w:ascii="Times New Roman" w:hAnsi="Times New Roman" w:cs="Times New Roman"/>
          <w:sz w:val="28"/>
          <w:szCs w:val="28"/>
        </w:rPr>
        <w:t xml:space="preserve">ументооборот между претендентами, участниками аукциона, Оператором электронной площадки, Продавцом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</w:t>
      </w:r>
      <w:r>
        <w:rPr>
          <w:rFonts w:ascii="Times New Roman" w:hAnsi="Times New Roman" w:cs="Times New Roman"/>
          <w:sz w:val="28"/>
          <w:szCs w:val="28"/>
        </w:rPr>
        <w:t xml:space="preserve">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участника, либо лица, имеющего право действовать от имени соответственно Продавца, претендента или участника.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в электронной форме, под</w:t>
      </w:r>
      <w:r>
        <w:rPr>
          <w:rFonts w:ascii="Times New Roman" w:hAnsi="Times New Roman" w:cs="Times New Roman"/>
          <w:sz w:val="28"/>
          <w:szCs w:val="28"/>
        </w:rPr>
        <w:t xml:space="preserve">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</w:t>
      </w:r>
      <w:r>
        <w:rPr>
          <w:rFonts w:ascii="Times New Roman" w:hAnsi="Times New Roman" w:cs="Times New Roman"/>
          <w:sz w:val="28"/>
          <w:szCs w:val="28"/>
        </w:rPr>
        <w:t xml:space="preserve">вными правовыми актами установлено требование о необходимости составления документа исключительно на бумажном носителе. Если в соответствии с федеральными законами, принимаемыми в соответствии с ними нормативными правовыми актами или обычаем делового оборо</w:t>
      </w:r>
      <w:r>
        <w:rPr>
          <w:rFonts w:ascii="Times New Roman" w:hAnsi="Times New Roman" w:cs="Times New Roman"/>
          <w:sz w:val="28"/>
          <w:szCs w:val="28"/>
        </w:rPr>
        <w:t xml:space="preserve">та документ должен быть заверен печатью, электронный документ, подписанный усиленной электронной подписью, признается равнозначным документу на бумажном носителе, подписанному собственноручной подписью и заверенному печатью. Наличие электронной подписи озн</w:t>
      </w:r>
      <w:r>
        <w:rPr>
          <w:rFonts w:ascii="Times New Roman" w:hAnsi="Times New Roman" w:cs="Times New Roman"/>
          <w:sz w:val="28"/>
          <w:szCs w:val="28"/>
        </w:rPr>
        <w:t xml:space="preserve">ачает, что документы и сведения, поданные в форме электронных документов направлены от имени соответственно претендента, участника, Продавца, либо Организатора и отправитель несет ответственность за подлинность и достоверность таких документов и сведений.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numPr>
          <w:ilvl w:val="0"/>
          <w:numId w:val="9"/>
        </w:numPr>
        <w:jc w:val="center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участников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указанный в настоящем информационном сообщении день определения участников аукциона в электронной форме Продавец рассматривает заявки и до</w:t>
      </w:r>
      <w:r>
        <w:rPr>
          <w:rFonts w:ascii="Times New Roman" w:hAnsi="Times New Roman" w:cs="Times New Roman"/>
          <w:sz w:val="28"/>
          <w:szCs w:val="28"/>
        </w:rPr>
        <w:t xml:space="preserve">кументы претендентов. По результатам рассмотрения заявок и документов Продавец принимает решение о признании претендентов участниками аукциона в электронной форме. Претендент не допускается к участию в аукционе в электронной форме по следующим основаниям: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непредставление необходимых для участия документов или предоставление недостоверных сведений;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поступление задатка на дату рассмотрения заявок на участие в аукционе;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 заявки на участие в аукционе лицом, который в соответствии с законодательством Российской Федерации не имеет права быть участником </w:t>
      </w:r>
      <w:r>
        <w:rPr>
          <w:rFonts w:ascii="Times New Roman" w:hAnsi="Times New Roman" w:cs="Times New Roman"/>
          <w:sz w:val="28"/>
          <w:szCs w:val="28"/>
        </w:rPr>
        <w:t xml:space="preserve">конкретного аукциона, покупателем земельного участка или приобрести земельный участок в аренду;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перечень оснований отказа претенденту на участие в аукционе в электронной форме является исчерпывающим.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Продавец по итогам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указываются: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заявителях, допущенных к участию в аукционе и признанных участником аукциона, датах подачи заявок, внесенных задатках;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заявителях, не допущенных к участию в аукционе, с указанием причин отказа в допуске к участию в нем.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</w:t>
      </w:r>
      <w:r>
        <w:rPr>
          <w:rFonts w:ascii="Times New Roman" w:hAnsi="Times New Roman" w:cs="Times New Roman"/>
          <w:sz w:val="28"/>
          <w:szCs w:val="28"/>
        </w:rPr>
        <w:t xml:space="preserve"> сайте не позднее чем на следующий день после подписания протокола. Сведения о количестве участников аукциона без указания иных св</w:t>
      </w:r>
      <w:r>
        <w:rPr>
          <w:rFonts w:ascii="Times New Roman" w:hAnsi="Times New Roman" w:cs="Times New Roman"/>
          <w:sz w:val="28"/>
          <w:szCs w:val="28"/>
        </w:rPr>
        <w:t xml:space="preserve">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аукцион признан несостоявшимся и только один заявитель признан участником </w:t>
      </w:r>
      <w:r>
        <w:rPr>
          <w:rFonts w:ascii="Times New Roman" w:hAnsi="Times New Roman" w:cs="Times New Roman"/>
          <w:sz w:val="28"/>
          <w:szCs w:val="28"/>
        </w:rPr>
        <w:t xml:space="preserve">аукциона, уполномоченный орган в течение десяти дней со дня подписания протокола, указанного в пункте 3.6 настоящего регламента, направляет заявителю два экземпляра подписанного проекта договора купли-продажи или проекта договора аренды земельного участка.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Заявителю, подавшему единственную заявку на участие в аукционе, соответствующую всем требованиям и указ</w:t>
      </w:r>
      <w:r>
        <w:rPr>
          <w:rFonts w:ascii="Times New Roman" w:hAnsi="Times New Roman" w:cs="Times New Roman"/>
          <w:sz w:val="28"/>
          <w:szCs w:val="28"/>
        </w:rPr>
        <w:t xml:space="preserve">анным в извещении о проведении аукциона условиям аукциона, уполномоченный орган направляет в течение десяти дней со дня рассмотрения указанной заявки два экземпляра подписанного проекта договора купли-продажи или проекта договора аренды земельного участка.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проведения аукциона в электронной форме и определения победителей аукциона в электронной форме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Аукцион в элек</w:t>
      </w:r>
      <w:r>
        <w:rPr>
          <w:rFonts w:ascii="Times New Roman" w:hAnsi="Times New Roman" w:cs="Times New Roman"/>
          <w:sz w:val="28"/>
          <w:szCs w:val="28"/>
        </w:rPr>
        <w:t xml:space="preserve">тронной форме проводится в указанные в информационном сообщении день и час путем последовательного повышения участниками начальной цены аренды на величину, равную либо кратную величине «шага аукциона». «Шаг аукциона» не изменяется в течение всего аукциона.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проведения аукциона участники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предложение о цене предмета аукциона увеличивает текущее максимальное предложение о цене предмета аукциона на величину "шага аукциона";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времени начала проведения процедуры аукциона Оператором электронной площадки размещается: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закрытой части электронной п</w:t>
      </w:r>
      <w:r>
        <w:rPr>
          <w:rFonts w:ascii="Times New Roman" w:hAnsi="Times New Roman" w:cs="Times New Roman"/>
          <w:sz w:val="28"/>
          <w:szCs w:val="28"/>
        </w:rPr>
        <w:t xml:space="preserve">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</w:t>
      </w:r>
      <w:r>
        <w:rPr>
          <w:rFonts w:ascii="Times New Roman" w:hAnsi="Times New Roman" w:cs="Times New Roman"/>
          <w:sz w:val="28"/>
          <w:szCs w:val="28"/>
        </w:rPr>
        <w:t xml:space="preserve">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 </w:t>
      </w:r>
      <w:r>
        <w:rPr>
          <w:rFonts w:ascii="Times New Roman" w:hAnsi="Times New Roman" w:cs="Times New Roman"/>
          <w:sz w:val="28"/>
          <w:szCs w:val="28"/>
        </w:rPr>
        <w:t xml:space="preserve">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программными средствами электронной площадки обеспечивается: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Победителем признается участник, предложивший наиболее высокую цену имущества.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проведения процедуры аукцион</w:t>
      </w:r>
      <w:r>
        <w:rPr>
          <w:rFonts w:ascii="Times New Roman" w:hAnsi="Times New Roman" w:cs="Times New Roman"/>
          <w:sz w:val="28"/>
          <w:szCs w:val="28"/>
        </w:rPr>
        <w:t xml:space="preserve">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аукциона оформляются протоколом, который составляется и подписывается органи</w:t>
      </w:r>
      <w:r>
        <w:rPr>
          <w:rFonts w:ascii="Times New Roman" w:hAnsi="Times New Roman" w:cs="Times New Roman"/>
          <w:sz w:val="28"/>
          <w:szCs w:val="28"/>
        </w:rPr>
        <w:t xml:space="preserve">затором аукциона не позднее одного рабочего дня со дня проведения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 В протоколе указываются: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месте, дате и времени проведения аукциона;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аукциона, в том числе сведения о местоположении и площади земельного участка;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участниках аукциона, о начальной цене предмета аукциона, последнем и предпоследнем предложениях о цене предмета аукциона;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последнем предложении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о результатах аукциона размещается на официальном сайте в течение одного рабочего дня со дня подписания данного протокола.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Победителем аукциона признается участник аукциона, предложивший наибольшую цену за земельный участок или наибольший размер ежегодной арендной платы за земельный участок.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подписания протокола о результатах аукциона уполномоченный орган обязан возвратить задатки лицам, участвовавшим в аукционе, но не победившим в нем, за исключением участн</w:t>
      </w:r>
      <w:r>
        <w:rPr>
          <w:rFonts w:ascii="Times New Roman" w:hAnsi="Times New Roman" w:cs="Times New Roman"/>
          <w:sz w:val="28"/>
          <w:szCs w:val="28"/>
        </w:rPr>
        <w:t xml:space="preserve">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направляет победителю аукциона или единственному принявшему участие в аукционе его участ</w:t>
      </w:r>
      <w:r>
        <w:rPr>
          <w:rFonts w:ascii="Times New Roman" w:hAnsi="Times New Roman" w:cs="Times New Roman"/>
          <w:sz w:val="28"/>
          <w:szCs w:val="28"/>
        </w:rPr>
        <w:t xml:space="preserve">нику два экземпляра подписанного проекта договора купли-продажи или проекта договора аренды земельного участка в пятидневный срок со дня составления протокола о результатах аукциона. При этом договор купли-продажи земельного участка заключается по цене, пр</w:t>
      </w:r>
      <w:r>
        <w:rPr>
          <w:rFonts w:ascii="Times New Roman" w:hAnsi="Times New Roman" w:cs="Times New Roman"/>
          <w:sz w:val="28"/>
          <w:szCs w:val="28"/>
        </w:rPr>
        <w:t xml:space="preserve">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</w:t>
      </w:r>
      <w:r>
        <w:rPr>
          <w:rFonts w:ascii="Times New Roman" w:hAnsi="Times New Roman" w:cs="Times New Roman"/>
          <w:sz w:val="28"/>
          <w:szCs w:val="28"/>
        </w:rPr>
        <w:t xml:space="preserve">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аукциона вправе объявить о проведении повторного аукциона в</w:t>
      </w:r>
      <w:r>
        <w:rPr>
          <w:rFonts w:ascii="Times New Roman" w:hAnsi="Times New Roman" w:cs="Times New Roman"/>
          <w:sz w:val="28"/>
          <w:szCs w:val="28"/>
        </w:rPr>
        <w:t xml:space="preserve">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десяти рабочих дней со</w:t>
      </w:r>
      <w:r>
        <w:rPr>
          <w:rFonts w:ascii="Times New Roman" w:hAnsi="Times New Roman" w:cs="Times New Roman"/>
          <w:sz w:val="28"/>
          <w:szCs w:val="28"/>
        </w:rPr>
        <w:t xml:space="preserve"> дня направления им проекта договора купли-продажи или проекта договора аренды земельного участка не подписали и не представили в уполномоченный орган указанные договоры (при наличии указанных лиц). При этом условия повторного аукциона могут быть изменены.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</w:t>
      </w:r>
      <w:r>
        <w:rPr>
          <w:rFonts w:ascii="Times New Roman" w:hAnsi="Times New Roman" w:cs="Times New Roman"/>
          <w:sz w:val="28"/>
          <w:szCs w:val="28"/>
        </w:rPr>
        <w:t xml:space="preserve">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в течение десяти рабочих дней со дня направлен</w:t>
      </w:r>
      <w:r>
        <w:rPr>
          <w:rFonts w:ascii="Times New Roman" w:hAnsi="Times New Roman" w:cs="Times New Roman"/>
          <w:sz w:val="28"/>
          <w:szCs w:val="28"/>
        </w:rPr>
        <w:t xml:space="preserve">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уполномоченн</w:t>
      </w:r>
      <w:r>
        <w:rPr>
          <w:rFonts w:ascii="Times New Roman" w:hAnsi="Times New Roman" w:cs="Times New Roman"/>
          <w:sz w:val="28"/>
          <w:szCs w:val="28"/>
        </w:rPr>
        <w:t xml:space="preserve">ый орган вправе объявить о проведении повторного аукциона или распорядиться земельным участком иным образом в соответствии с настоящим Кодексом.12. Порядок заключения договора аренды имущества по итогам аукциона в электронной форме, условия и сроки платежа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аренды земельно</w:t>
      </w:r>
      <w:r>
        <w:rPr>
          <w:rFonts w:ascii="Times New Roman" w:hAnsi="Times New Roman" w:cs="Times New Roman"/>
          <w:sz w:val="28"/>
          <w:szCs w:val="28"/>
        </w:rPr>
        <w:t xml:space="preserve">го участка с победителем аукциона заключается в течение 30 дней со дня подписания протокола о результатах аукциона, но не ранее чем через 10 дней со дня размещения информации о результатах аукциона на официальном сайте Российской Федерации в сети Интернет </w:t>
      </w:r>
      <w:r>
        <w:rPr>
          <w:rFonts w:ascii="Times New Roman" w:hAnsi="Times New Roman" w:cs="Times New Roman"/>
          <w:sz w:val="28"/>
          <w:szCs w:val="28"/>
        </w:rPr>
        <w:t xml:space="preserve">https://torgi.gov.ru/login.html. Порядок внесения арендной платы устанавливается договором аренды земельного участка (приложение 2).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Оплата по договору аренды осуществляется по следующим реквизитам: УФК по Липецкой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УФК по Липецкой области (Администрация Добринского муниципального района Лип</w:t>
      </w:r>
      <w:r>
        <w:rPr>
          <w:rFonts w:ascii="Times New Roman" w:hAnsi="Times New Roman" w:cs="Times New Roman"/>
          <w:sz w:val="28"/>
          <w:szCs w:val="28"/>
        </w:rPr>
        <w:t xml:space="preserve">ецкой области), ИНН 4804002990, КПП 480401001, банк: ОТДЕЛЕНИЕ ЛИПЕЦК БАНКА РОССИИ//УФК ПО ЛИПЕЦКОЙ ОБЛАСТИ г. Липецк, БИК 014206212, банковский счет 40102810945370000039, казначейский счет 03100643000000014600, ОКТМО 42612422, код БК 70211105013050000120.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Задаток, перечисленный покупателем (победителем) для участия в продаже, засчитывается в счёт оплаты приобретаемого имущества.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уклонении или отказе победителя от заключения в установленный срок договора аренды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Заключительные положения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вопросы, касающиеся проведения аукциона в электронной форме по предоставлению в аренду земельного участка, не нашедшие отражения в настоящем информационном сообщении, регулируются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536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536"/>
        <w:jc w:val="both"/>
        <w:tabs>
          <w:tab w:val="left" w:pos="5102" w:leader="none"/>
          <w:tab w:val="left" w:pos="538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информационному сообщению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Заявка на участие в аукционе</w:t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jc w:val="center"/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на право заключения договора аренды земельного участка, объявленного по извещению №______________________ от «___</w:t>
      </w: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_»_</w:t>
      </w: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______2025г.</w:t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jc w:val="center"/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</w:rPr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Ф.И.О.  (для физ. лиц) ________________________________________________</w:t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jc w:val="center"/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(паспортные данные, адрес, номер телефона)</w:t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____________________________________________________________________</w:t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________________________________________________________________________________________________________________________________________</w:t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СНИЛС_____________________________________________________________</w:t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ИНН____________________________________выдан</w:t>
      </w: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 ______________________</w:t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Ознакомившись с материалами извещения на сайте </w:t>
      </w:r>
      <w:r>
        <w:rPr>
          <w:rFonts w:ascii="Times New Roman" w:hAnsi="Times New Roman" w:eastAsia="Andale Sans UI" w:cs="Times New Roman"/>
          <w:sz w:val="28"/>
          <w:szCs w:val="28"/>
          <w:lang w:val="en-US" w:eastAsia="ja-JP" w:bidi="fa-IR"/>
        </w:rPr>
        <w:t xml:space="preserve">torgi</w:t>
      </w: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.</w:t>
      </w:r>
      <w:r>
        <w:rPr>
          <w:rFonts w:ascii="Times New Roman" w:hAnsi="Times New Roman" w:eastAsia="Andale Sans UI" w:cs="Times New Roman"/>
          <w:sz w:val="28"/>
          <w:szCs w:val="28"/>
          <w:lang w:val="en-US" w:eastAsia="ja-JP" w:bidi="fa-IR"/>
        </w:rPr>
        <w:t xml:space="preserve">gov</w:t>
      </w: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.</w:t>
      </w:r>
      <w:r>
        <w:rPr>
          <w:rFonts w:ascii="Times New Roman" w:hAnsi="Times New Roman" w:eastAsia="Andale Sans UI" w:cs="Times New Roman"/>
          <w:sz w:val="28"/>
          <w:szCs w:val="28"/>
          <w:lang w:val="en-US" w:eastAsia="ja-JP" w:bidi="fa-IR"/>
        </w:rPr>
        <w:t xml:space="preserve">ru</w:t>
      </w: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 и (или), документацией по предмету аукциона, проектом договора аренды, земельным участком на местности и условиями его использования, желаю заключить договор аренды земельного   участка</w:t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ind w:firstLine="708"/>
        <w:jc w:val="both"/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по Лоту №__</w:t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________________________________________________________________________________________________________________________________________ срок аренды – ____________ (__________) __________</w:t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</w:rPr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С проектом договора аренды земельного участка ознакомлен, с условиями согласен.</w:t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С условиями аукциона ознакомлен, согласен с ними и обязуюсь выполнить.</w:t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Платежные реквизиты, на которые следует перечислить подлежащую возврату сумму </w:t>
      </w: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задатка:_</w:t>
      </w: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_______________________________________________________</w:t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ind w:firstLine="708"/>
        <w:jc w:val="both"/>
        <w:widowControl w:val="off"/>
        <w:rPr>
          <w:rFonts w:ascii="Times New Roman" w:hAnsi="Times New Roman" w:eastAsia="Andale Sans UI" w:cs="Times New Roman"/>
          <w:iCs/>
          <w:sz w:val="28"/>
          <w:szCs w:val="28"/>
          <w:lang w:eastAsia="ja-JP" w:bidi="fa-IR"/>
        </w:rPr>
      </w:pP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Даю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согласие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администрации</w:t>
      </w:r>
      <w:r>
        <w:rPr>
          <w:rFonts w:ascii="Times New Roman" w:hAnsi="Times New Roman" w:eastAsia="Andale Sans UI" w:cs="Times New Roman"/>
          <w:iCs/>
          <w:sz w:val="28"/>
          <w:szCs w:val="28"/>
          <w:lang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eastAsia="ja-JP" w:bidi="fa-IR"/>
        </w:rPr>
        <w:t xml:space="preserve">Добринского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муниципального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района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на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обработку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персональных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данных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,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содержащихся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в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настоящем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заявлении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и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персональных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данных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,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связанных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с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предоставлением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испрашиваемого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права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,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то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есть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их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сбор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,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систематизацию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,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накопление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,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хранение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,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уточнение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(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обновление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,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изменение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),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использование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,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распространение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(в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том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числе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передачу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),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обезличивание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,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блокирование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,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уничтожение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.</w:t>
      </w:r>
      <w:r>
        <w:rPr>
          <w:rFonts w:ascii="Times New Roman" w:hAnsi="Times New Roman" w:eastAsia="Andale Sans UI" w:cs="Times New Roman"/>
          <w:iCs/>
          <w:sz w:val="28"/>
          <w:szCs w:val="28"/>
          <w:lang w:eastAsia="ja-JP" w:bidi="fa-IR"/>
        </w:rPr>
      </w:r>
    </w:p>
    <w:p>
      <w:pPr>
        <w:ind w:firstLine="708"/>
        <w:jc w:val="both"/>
        <w:widowControl w:val="off"/>
        <w:rPr>
          <w:rFonts w:ascii="Times New Roman" w:hAnsi="Times New Roman" w:eastAsia="Andale Sans UI" w:cs="Times New Roman"/>
          <w:iCs/>
          <w:sz w:val="28"/>
          <w:szCs w:val="28"/>
        </w:rPr>
      </w:pPr>
      <w:r>
        <w:rPr>
          <w:rFonts w:ascii="Times New Roman" w:hAnsi="Times New Roman" w:eastAsia="Andale Sans UI" w:cs="Times New Roman"/>
          <w:iCs/>
          <w:sz w:val="28"/>
          <w:szCs w:val="28"/>
        </w:rPr>
      </w:r>
      <w:r>
        <w:rPr>
          <w:rFonts w:ascii="Times New Roman" w:hAnsi="Times New Roman" w:eastAsia="Andale Sans UI" w:cs="Times New Roman"/>
          <w:iCs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Согласие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на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обработку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персональных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данных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,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содержащихся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в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настоящем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заявлении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,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действует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до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даты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подачи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заявления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об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отзыве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настоящего</w:t>
      </w:r>
      <w:r>
        <w:rPr>
          <w:rFonts w:ascii="Times New Roman" w:hAnsi="Times New Roman" w:eastAsia="Andale Sans UI" w:cs="Times New Roman"/>
          <w:iCs/>
          <w:sz w:val="28"/>
          <w:szCs w:val="28"/>
          <w:lang w:val="de-DE" w:eastAsia="ja-JP" w:bidi="fa-IR"/>
        </w:rPr>
        <w:t xml:space="preserve"> согласия</w:t>
      </w:r>
      <w:r>
        <w:rPr>
          <w:rFonts w:ascii="Times New Roman" w:hAnsi="Times New Roman" w:eastAsia="Andale Sans UI" w:cs="Times New Roman"/>
          <w:i/>
          <w:sz w:val="28"/>
          <w:szCs w:val="28"/>
          <w:lang w:val="de-DE" w:eastAsia="ja-JP" w:bidi="fa-IR"/>
        </w:rPr>
        <w:t xml:space="preserve">.</w:t>
      </w:r>
      <w:r>
        <w:rPr>
          <w:rFonts w:ascii="Times New Roman" w:hAnsi="Times New Roman" w:eastAsia="Andale Sans UI" w:cs="Times New Roman"/>
          <w:sz w:val="28"/>
          <w:szCs w:val="28"/>
          <w:lang w:eastAsia="ja-JP" w:bidi="fa-IR"/>
        </w:rPr>
        <w:t xml:space="preserve">                                        </w:t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</w:rPr>
      </w:r>
      <w:r>
        <w:rPr>
          <w:rFonts w:ascii="Times New Roman" w:hAnsi="Times New Roman" w:eastAsia="Andale Sans UI" w:cs="Times New Roman"/>
          <w:sz w:val="28"/>
          <w:szCs w:val="28"/>
        </w:rPr>
      </w:r>
    </w:p>
    <w:p>
      <w:pPr>
        <w:widowControl w:val="off"/>
        <w:rPr>
          <w:rFonts w:ascii="Times New Roman" w:hAnsi="Times New Roman" w:eastAsia="Andale Sans UI" w:cs="Times New Roman"/>
          <w:sz w:val="28"/>
          <w:szCs w:val="28"/>
        </w:rPr>
      </w:pPr>
      <w:r>
        <w:rPr>
          <w:rFonts w:ascii="Times New Roman" w:hAnsi="Times New Roman" w:eastAsia="Andale Sans UI" w:cs="Times New Roman"/>
          <w:sz w:val="28"/>
          <w:szCs w:val="28"/>
        </w:rPr>
      </w:r>
      <w:r>
        <w:rPr>
          <w:rFonts w:ascii="Times New Roman" w:hAnsi="Times New Roman" w:eastAsia="Andale Sans UI" w:cs="Times New Roman"/>
          <w:sz w:val="28"/>
          <w:szCs w:val="28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2"/>
        <w:gridCol w:w="4836"/>
      </w:tblGrid>
      <w:tr>
        <w:tblPrEx/>
        <w:trPr/>
        <w:tc>
          <w:tcPr>
            <w:tcW w:w="492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Andale Sans UI" w:cs="Times New Roman"/>
                <w:sz w:val="28"/>
                <w:szCs w:val="28"/>
              </w:rPr>
            </w:pPr>
            <w:r>
              <w:rPr>
                <w:rFonts w:ascii="Times New Roman" w:hAnsi="Times New Roman" w:eastAsia="Andale Sans UI" w:cs="Times New Roman"/>
                <w:sz w:val="28"/>
                <w:szCs w:val="28"/>
                <w:lang w:eastAsia="ja-JP" w:bidi="fa-IR"/>
              </w:rPr>
              <w:t xml:space="preserve">Претендент:</w:t>
            </w: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</w:p>
          <w:p>
            <w:pPr>
              <w:widowControl w:val="off"/>
              <w:rPr>
                <w:rFonts w:ascii="Times New Roman" w:hAnsi="Times New Roman" w:eastAsia="Andale Sans UI" w:cs="Times New Roman"/>
                <w:sz w:val="28"/>
                <w:szCs w:val="28"/>
              </w:rPr>
            </w:pP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</w:p>
          <w:p>
            <w:pPr>
              <w:widowControl w:val="off"/>
              <w:rPr>
                <w:rFonts w:ascii="Times New Roman" w:hAnsi="Times New Roman" w:eastAsia="Andale Sans UI" w:cs="Times New Roman"/>
                <w:sz w:val="28"/>
                <w:szCs w:val="28"/>
              </w:rPr>
            </w:pPr>
            <w:r>
              <w:rPr>
                <w:rFonts w:ascii="Times New Roman" w:hAnsi="Times New Roman" w:eastAsia="Andale Sans UI" w:cs="Times New Roman"/>
                <w:sz w:val="28"/>
                <w:szCs w:val="28"/>
                <w:lang w:eastAsia="ja-JP" w:bidi="fa-IR"/>
              </w:rPr>
              <w:t xml:space="preserve">___________________________</w:t>
            </w: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</w:p>
          <w:p>
            <w:pPr>
              <w:widowControl w:val="off"/>
              <w:rPr>
                <w:rFonts w:ascii="Times New Roman" w:hAnsi="Times New Roman" w:eastAsia="Andale Sans UI" w:cs="Times New Roman"/>
                <w:sz w:val="28"/>
                <w:szCs w:val="28"/>
              </w:rPr>
            </w:pPr>
            <w:r>
              <w:rPr>
                <w:rFonts w:ascii="Times New Roman" w:hAnsi="Times New Roman" w:eastAsia="Andale Sans UI" w:cs="Times New Roman"/>
                <w:sz w:val="28"/>
                <w:szCs w:val="28"/>
                <w:lang w:eastAsia="ja-JP" w:bidi="fa-IR"/>
              </w:rPr>
              <w:t xml:space="preserve">           подпись, ФИО</w:t>
            </w: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</w:p>
          <w:p>
            <w:pPr>
              <w:widowControl w:val="off"/>
              <w:rPr>
                <w:rFonts w:ascii="Times New Roman" w:hAnsi="Times New Roman" w:eastAsia="Andale Sans UI" w:cs="Times New Roman"/>
                <w:sz w:val="28"/>
                <w:szCs w:val="28"/>
              </w:rPr>
            </w:pP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</w:p>
          <w:p>
            <w:pPr>
              <w:widowControl w:val="off"/>
              <w:rPr>
                <w:rFonts w:ascii="Times New Roman" w:hAnsi="Times New Roman" w:eastAsia="Andale Sans UI" w:cs="Times New Roman"/>
                <w:sz w:val="28"/>
                <w:szCs w:val="28"/>
              </w:rPr>
            </w:pPr>
            <w:r>
              <w:rPr>
                <w:rFonts w:ascii="Times New Roman" w:hAnsi="Times New Roman" w:eastAsia="Andale Sans UI" w:cs="Times New Roman"/>
                <w:sz w:val="28"/>
                <w:szCs w:val="28"/>
                <w:lang w:eastAsia="ja-JP" w:bidi="fa-IR"/>
              </w:rPr>
              <w:t xml:space="preserve">«___</w:t>
            </w:r>
            <w:r>
              <w:rPr>
                <w:rFonts w:ascii="Times New Roman" w:hAnsi="Times New Roman" w:eastAsia="Andale Sans UI" w:cs="Times New Roman"/>
                <w:sz w:val="28"/>
                <w:szCs w:val="28"/>
                <w:lang w:eastAsia="ja-JP" w:bidi="fa-IR"/>
              </w:rPr>
              <w:t xml:space="preserve">_»_</w:t>
            </w:r>
            <w:r>
              <w:rPr>
                <w:rFonts w:ascii="Times New Roman" w:hAnsi="Times New Roman" w:eastAsia="Andale Sans UI" w:cs="Times New Roman"/>
                <w:sz w:val="28"/>
                <w:szCs w:val="28"/>
                <w:lang w:eastAsia="ja-JP" w:bidi="fa-IR"/>
              </w:rPr>
              <w:t xml:space="preserve">_____________20____г. </w:t>
            </w: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</w:p>
          <w:p>
            <w:pPr>
              <w:widowControl w:val="off"/>
              <w:rPr>
                <w:rFonts w:ascii="Times New Roman" w:hAnsi="Times New Roman" w:eastAsia="Andale Sans UI" w:cs="Times New Roman"/>
                <w:sz w:val="28"/>
                <w:szCs w:val="28"/>
              </w:rPr>
            </w:pP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</w:p>
        </w:tc>
        <w:tc>
          <w:tcPr>
            <w:tcW w:w="492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Andale Sans UI" w:cs="Times New Roman"/>
                <w:sz w:val="28"/>
                <w:szCs w:val="28"/>
              </w:rPr>
            </w:pPr>
            <w:r>
              <w:rPr>
                <w:rFonts w:ascii="Times New Roman" w:hAnsi="Times New Roman" w:eastAsia="Andale Sans UI" w:cs="Times New Roman"/>
                <w:sz w:val="28"/>
                <w:szCs w:val="28"/>
                <w:lang w:eastAsia="ja-JP" w:bidi="fa-IR"/>
              </w:rPr>
              <w:t xml:space="preserve">Принято:</w:t>
            </w: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</w:p>
          <w:p>
            <w:pPr>
              <w:widowControl w:val="off"/>
              <w:rPr>
                <w:rFonts w:ascii="Times New Roman" w:hAnsi="Times New Roman" w:eastAsia="Andale Sans UI" w:cs="Times New Roman"/>
                <w:sz w:val="28"/>
                <w:szCs w:val="28"/>
              </w:rPr>
            </w:pP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</w:p>
          <w:p>
            <w:pPr>
              <w:widowControl w:val="off"/>
              <w:rPr>
                <w:rFonts w:ascii="Times New Roman" w:hAnsi="Times New Roman" w:eastAsia="Andale Sans UI" w:cs="Times New Roman"/>
                <w:sz w:val="28"/>
                <w:szCs w:val="28"/>
              </w:rPr>
            </w:pPr>
            <w:r>
              <w:rPr>
                <w:rFonts w:ascii="Times New Roman" w:hAnsi="Times New Roman" w:eastAsia="Andale Sans UI" w:cs="Times New Roman"/>
                <w:sz w:val="28"/>
                <w:szCs w:val="28"/>
                <w:lang w:eastAsia="ja-JP" w:bidi="fa-IR"/>
              </w:rPr>
              <w:t xml:space="preserve">_____________________________</w:t>
            </w: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</w:p>
          <w:p>
            <w:pPr>
              <w:widowControl w:val="off"/>
              <w:rPr>
                <w:rFonts w:ascii="Times New Roman" w:hAnsi="Times New Roman" w:eastAsia="Andale Sans UI" w:cs="Times New Roman"/>
                <w:sz w:val="28"/>
                <w:szCs w:val="28"/>
              </w:rPr>
            </w:pPr>
            <w:r>
              <w:rPr>
                <w:rFonts w:ascii="Times New Roman" w:hAnsi="Times New Roman" w:eastAsia="Andale Sans UI" w:cs="Times New Roman"/>
                <w:sz w:val="28"/>
                <w:szCs w:val="28"/>
                <w:lang w:eastAsia="ja-JP" w:bidi="fa-IR"/>
              </w:rPr>
              <w:t xml:space="preserve">            подпись, ФИО, должность</w:t>
            </w: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</w:p>
          <w:p>
            <w:pPr>
              <w:widowControl w:val="off"/>
              <w:rPr>
                <w:rFonts w:ascii="Times New Roman" w:hAnsi="Times New Roman" w:eastAsia="Andale Sans UI" w:cs="Times New Roman"/>
                <w:sz w:val="28"/>
                <w:szCs w:val="28"/>
              </w:rPr>
            </w:pP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</w:p>
          <w:p>
            <w:pPr>
              <w:widowControl w:val="off"/>
              <w:rPr>
                <w:rFonts w:ascii="Times New Roman" w:hAnsi="Times New Roman" w:eastAsia="Andale Sans UI" w:cs="Times New Roman"/>
                <w:sz w:val="28"/>
                <w:szCs w:val="28"/>
              </w:rPr>
            </w:pPr>
            <w:r>
              <w:rPr>
                <w:rFonts w:ascii="Times New Roman" w:hAnsi="Times New Roman" w:eastAsia="Andale Sans UI" w:cs="Times New Roman"/>
                <w:sz w:val="28"/>
                <w:szCs w:val="28"/>
                <w:lang w:eastAsia="ja-JP" w:bidi="fa-IR"/>
              </w:rPr>
              <w:t xml:space="preserve">«___</w:t>
            </w:r>
            <w:r>
              <w:rPr>
                <w:rFonts w:ascii="Times New Roman" w:hAnsi="Times New Roman" w:eastAsia="Andale Sans UI" w:cs="Times New Roman"/>
                <w:sz w:val="28"/>
                <w:szCs w:val="28"/>
                <w:lang w:eastAsia="ja-JP" w:bidi="fa-IR"/>
              </w:rPr>
              <w:t xml:space="preserve">_»_</w:t>
            </w:r>
            <w:r>
              <w:rPr>
                <w:rFonts w:ascii="Times New Roman" w:hAnsi="Times New Roman" w:eastAsia="Andale Sans UI" w:cs="Times New Roman"/>
                <w:sz w:val="28"/>
                <w:szCs w:val="28"/>
                <w:lang w:eastAsia="ja-JP" w:bidi="fa-IR"/>
              </w:rPr>
              <w:t xml:space="preserve">_____________20____г.</w:t>
            </w:r>
            <w:r>
              <w:rPr>
                <w:rFonts w:ascii="Times New Roman" w:hAnsi="Times New Roman" w:eastAsia="Andale Sans UI" w:cs="Times New Roman"/>
                <w:sz w:val="28"/>
                <w:szCs w:val="28"/>
              </w:rPr>
            </w:r>
          </w:p>
        </w:tc>
      </w:tr>
    </w:tbl>
    <w:p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2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678" w:hanging="142"/>
        <w:tabs>
          <w:tab w:val="left" w:pos="4962" w:leader="none"/>
          <w:tab w:val="left" w:pos="52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информационному сообщению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678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center"/>
        <w:keepNext/>
        <w:spacing w:before="240"/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Договор №________аренды земельного участка (Проект)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7"/>
        <w:tabs>
          <w:tab w:val="left" w:pos="3402" w:leader="none"/>
        </w:tabs>
        <w:rPr>
          <w:b w:val="0"/>
          <w:sz w:val="28"/>
          <w:szCs w:val="28"/>
        </w:rPr>
      </w:pPr>
      <w:r>
        <w:rPr>
          <w:b w:val="0"/>
          <w:bCs/>
          <w:color w:val="ff0000"/>
          <w:sz w:val="28"/>
          <w:szCs w:val="28"/>
        </w:rPr>
        <w:t xml:space="preserve"> </w:t>
      </w:r>
      <w:r>
        <w:rPr>
          <w:b w:val="0"/>
          <w:sz w:val="28"/>
          <w:szCs w:val="28"/>
        </w:rPr>
      </w:r>
    </w:p>
    <w:p>
      <w:pPr>
        <w:pStyle w:val="67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Добринка, Добринский район, Липецкая область, Российская Федерация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7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____________________ две тысячи двадцать пятого года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основании протокола о результатах аукциона на право заключения договор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аренды земельного </w:t>
      </w:r>
      <w:r>
        <w:rPr>
          <w:rFonts w:ascii="Times New Roman" w:hAnsi="Times New Roman" w:cs="Times New Roman"/>
          <w:sz w:val="28"/>
          <w:szCs w:val="28"/>
        </w:rPr>
        <w:t xml:space="preserve">участка от __________2025 года,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Добринского муниципального района Липецкой области Российской Федерации в лице главы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Пасынкова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Александра Николаевича, действующего на основании Устава, именуемая в дальнейшем "Арендодатель" и_____________________, именуемый в дальнейшем "Арендатор", именуемые в дальнейшем "Стороны", заключили настоящий договор (далее – Договор) о нижеследующем: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1"/>
        </w:numPr>
        <w:ind w:right="6"/>
        <w:jc w:val="center"/>
        <w:spacing w:after="20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Договора.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1"/>
          <w:numId w:val="12"/>
        </w:numPr>
        <w:ind w:right="3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Арендодатель предоставляет, а Арендатор принимает в аренду земельный участок, относящийся к категории земель населенных пунктов, с кадастровым номером 48:</w:t>
      </w:r>
      <w:r>
        <w:rPr>
          <w:rFonts w:ascii="Times New Roman" w:hAnsi="Times New Roman" w:cs="Times New Roman"/>
          <w:sz w:val="28"/>
          <w:szCs w:val="28"/>
        </w:rPr>
        <w:t xml:space="preserve">04:_</w:t>
      </w:r>
      <w:r>
        <w:rPr>
          <w:rFonts w:ascii="Times New Roman" w:hAnsi="Times New Roman" w:cs="Times New Roman"/>
          <w:sz w:val="28"/>
          <w:szCs w:val="28"/>
        </w:rPr>
        <w:t xml:space="preserve">_____:____, площадью ____ кв. м., местополо</w:t>
      </w:r>
      <w:r>
        <w:rPr>
          <w:rFonts w:ascii="Times New Roman" w:hAnsi="Times New Roman" w:cs="Times New Roman"/>
          <w:sz w:val="28"/>
          <w:szCs w:val="28"/>
        </w:rPr>
        <w:t xml:space="preserve">жение установлено относительно ориентира, расположенного в границах земельного участка. _____________________________, в границах, указанных в кадастровом паспорте земельного участка, прилагаемом к настоящему договору и являющимся его неотъемлемой частью.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2"/>
        </w:numPr>
        <w:ind w:right="3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Разрешенное использование земельного участка: ____________.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2"/>
        </w:numPr>
        <w:ind w:right="3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 земельного участка изменению не подлежит.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Арендодатель подтверждает, что на момент заключения Договора передаваемый Участок не обременен правами третьих лиц.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Участке, изложенные в Договоре и приложениях к нему, являются достаточными для надлежащего использования Участка в соответствии с целями, указанными в Договоре.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сведениям из ЕГРН: возможны ограничения прав на земельный участок, предусмотренные статьями 56, 56.1 Земельного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Договора.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аренды Участка устанавливается на ___ года с ______.20__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по ____.20___.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Договор считается заключенным с момента его государственной регистрации в органе, осуществляющем государственную регистрацию прав на недвижимое имущество и сделок с ним.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1"/>
        </w:numPr>
        <w:ind w:left="0" w:firstLine="0"/>
        <w:jc w:val="center"/>
        <w:spacing w:before="200" w:after="20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Условия предоставления Участка.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Арендные права по земельному участку, указанному в п. 1.1, могут быть внесены в качестве вклада в уставной капитал хозяйственного товарищества или общества, либо паевого взноса в производственный кооператив с письменного согласия Арендодателя.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Арендодатель передал, а Арендатор принял Участок, указанный в п.1.1 Договора, ____20___ года. Настоящий Договор имеет силу передаточного акта, его подписание Сторонами подтверждает передачу Участка Арендодателем и его принятие Арендатором.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истечении срока действия Договора Участок должен быть возвращен Арендодателю в пятидневный срок с даты прекращения (расторжения) Договора по акту приема-передачи, составленному Арендатором и подписанному Сторонами.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Арендатор использует Участок в соответствии с особыми условиями, установленными в настоящем Договоре.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1"/>
        </w:numPr>
        <w:ind w:left="0" w:firstLine="0"/>
        <w:jc w:val="center"/>
        <w:spacing w:before="200" w:after="20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Арендная плата.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ежегодной арендной платы определен по результатам ау</w:t>
      </w:r>
      <w:r>
        <w:rPr>
          <w:rFonts w:ascii="Times New Roman" w:hAnsi="Times New Roman" w:cs="Times New Roman"/>
          <w:sz w:val="28"/>
          <w:szCs w:val="28"/>
        </w:rPr>
        <w:t xml:space="preserve">кциона и составляет ________ рублей __ копеек (__________ рублей ___ коп). Арендные платежи в размере _____ рублей __ копеек за первый год аренды вносятся Арендатором в соответствии с протоколом о результатах аукциона в течение 3 (трех) банковских дней со </w:t>
      </w:r>
      <w:r>
        <w:rPr>
          <w:rFonts w:ascii="Times New Roman" w:hAnsi="Times New Roman" w:cs="Times New Roman"/>
          <w:sz w:val="28"/>
          <w:szCs w:val="28"/>
        </w:rPr>
        <w:t xml:space="preserve">дня регистрации договора</w:t>
      </w:r>
      <w:r>
        <w:rPr>
          <w:rFonts w:ascii="Times New Roman" w:hAnsi="Times New Roman" w:cs="Times New Roman"/>
          <w:sz w:val="28"/>
          <w:szCs w:val="28"/>
        </w:rPr>
        <w:t xml:space="preserve">. Начиная с ___20__ года арендные платежи вносятся равными долями ежеквартально - не позднее 25 числа последнего месяца квартала, а за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IV</w:t>
      </w:r>
      <w:r>
        <w:rPr>
          <w:rFonts w:ascii="Times New Roman" w:hAnsi="Times New Roman" w:cs="Times New Roman"/>
          <w:sz w:val="28"/>
          <w:szCs w:val="28"/>
        </w:rPr>
        <w:t xml:space="preserve"> квартал- не позднее 15 ноября текущего года.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Арендатор вносит арендную плату за пользование Участком в рублях по следующим реквизитам: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УФК по Липецкой области (Администрация Добри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нского муниципального района Липецкой области), ИНН 4804002990, КПП 480401001, банк: ОТДЕЛЕНИЕ ЛИПЕЦК БАНКА РОССИИ//УФК ПО ЛИПЕЦКОЙ ОБЛАСТИ г. Липецк, БИК 014206212, банковский счет 40102810945370000039, казначейский счет 03100643000000014600, ОКТМО 426124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код БК 70211105013050000120.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jc w:val="both"/>
        <w:widowControl/>
        <w:tabs>
          <w:tab w:val="left" w:pos="709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4.3. Обязанность Арендатора по внесению арендных платежей считается исполненной с момента поступления денежных средств на счет, указанный в п. 4.2. Договора.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4.4. Не использование Участка Арендатором не может служить основанием невнесения арендной платы.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1"/>
        </w:numPr>
        <w:ind w:left="0" w:firstLine="0"/>
        <w:jc w:val="center"/>
        <w:spacing w:before="200" w:after="20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Права и обязанности Сторон.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Арендодатель имеет право: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2"/>
          <w:numId w:val="1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Потребовать расторжения Договора в судебном порядке в случае: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использования Арендатором предоставленного для застройки Участка в течение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 лет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использования Участка не по целевому назначению и принадлежности к той или иной категории земель;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использования Участка, приводящего к значительному ухудшению экологической обстановки или его порче;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однократного невнесения арендной платы в установленный Договором срок;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необходимости изъятия Участка для государственных и муниципальных нужд;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нарушений Арендатором других условий Договора, а также в иных случаях, предусмотренных законодательством.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создания или возведения на земельном участке самовольной постройки либо невыполнения обязанно</w:t>
      </w:r>
      <w:r>
        <w:rPr>
          <w:rFonts w:ascii="Times New Roman" w:hAnsi="Times New Roman" w:cs="Times New Roman"/>
          <w:sz w:val="28"/>
          <w:szCs w:val="28"/>
        </w:rPr>
        <w:t xml:space="preserve">стей, предусмотренных п. 11 ст.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использования земельного участка с нарушением требований законодательства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2"/>
          <w:numId w:val="1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контроль за целевым использованием и охраной земельного участка, предоставленных в аренду.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2"/>
          <w:numId w:val="1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беспрепятственный доступ на территорию арендуемого Участка с целью его осмотра на предмет соблюдения условий Договора.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2"/>
          <w:numId w:val="1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Требовать внесения арендной платы за все время, складывающееся с даты приема-передачи, до даты возврата Участка Арендатором в порядке, установленном п. 3.3 Договора.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2"/>
          <w:numId w:val="1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Требовать досрочного внесения арендной платы за 2 срока подряд в установленный Арендодателем срок при существенном нарушении Арендатором сроков внесения арендной платы, установленных п. 4.1. Договора.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2"/>
          <w:numId w:val="1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2"/>
          <w:numId w:val="1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Требовать от Арендатора выполнения условий Договора.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2"/>
          <w:numId w:val="1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одностороннем порядке от</w:t>
      </w:r>
      <w:r>
        <w:rPr>
          <w:rFonts w:ascii="Times New Roman" w:hAnsi="Times New Roman" w:cs="Times New Roman"/>
          <w:sz w:val="28"/>
          <w:szCs w:val="28"/>
        </w:rPr>
        <w:t xml:space="preserve">казаться от договора аренды земельного участка или исполнения договора аренды земельного участка при условии невыполнения арендатором соответствующих обязанностей, предусмотренных п. 11 ст. 55.32 Градостроительного кодекса Российской Федерации, в сроки, ус</w:t>
      </w:r>
      <w:r>
        <w:rPr>
          <w:rFonts w:ascii="Times New Roman" w:hAnsi="Times New Roman" w:cs="Times New Roman"/>
          <w:sz w:val="28"/>
          <w:szCs w:val="28"/>
        </w:rPr>
        <w:t xml:space="preserve">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требованиями, принятыми в соответствии с гражданским законодательством. Уведомление об одностороннем отказе от </w:t>
      </w:r>
      <w:r>
        <w:rPr>
          <w:rFonts w:ascii="Times New Roman" w:hAnsi="Times New Roman" w:cs="Times New Roman"/>
          <w:sz w:val="28"/>
          <w:szCs w:val="28"/>
        </w:rPr>
        <w:t xml:space="preserve">договора аренды земельного участка или исполнения договора аренды земельного участка направляется Арендодателем в течение одного месяца со дня поступления от уполномоченного органа уведомления о невыполнении арендатором указанных обязательств в срок, устан</w:t>
      </w:r>
      <w:r>
        <w:rPr>
          <w:rFonts w:ascii="Times New Roman" w:hAnsi="Times New Roman" w:cs="Times New Roman"/>
          <w:sz w:val="28"/>
          <w:szCs w:val="28"/>
        </w:rPr>
        <w:t xml:space="preserve">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требованиями, за исключением случаев, указанных в пунктах 5 и 7 статьи 46 Земельного кодекса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Арендодатель обязан: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5.2.1. Выполнять в полном объеме все условия Договора.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5.2.2. Не вмешиваться в хозяйственную деятельность Арендатора.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5.2.3. Письменно, своевременно уведомить Арендатора об изменении реквизитов счетов, указанных в п. 4.2. Договора.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Арендатор имеет право: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2"/>
          <w:numId w:val="1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Участок на условиях, установленных Договором.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2"/>
          <w:numId w:val="1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Досрочно расторгнуть Договор, направив не менее чем за шестьдесят календарных дней уведомление Арендодателю о намерении расторгнуть Договор с указанием причин расторжения.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2"/>
          <w:numId w:val="1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Производить строительство (реконструкцию или реставрацию) построек на используемом земельном участке с согласия уполномоченног</w:t>
      </w:r>
      <w:r>
        <w:rPr>
          <w:rFonts w:ascii="Times New Roman" w:hAnsi="Times New Roman" w:cs="Times New Roman"/>
          <w:sz w:val="28"/>
          <w:szCs w:val="28"/>
        </w:rPr>
        <w:t xml:space="preserve">о органа, в соответствии с уведомлением о соответствии планируемого строительства (реконструкции)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2"/>
          <w:numId w:val="1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производить согласование расчета причитающихся платежей Арендодателю.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5.4. Арендатор обязан: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5.4.1. Выполнять в полном объеме все условия Договора.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5.4.2. Использовать Участок в соответствии с целью и условиями, установленными Договором.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5.4.3. Своевременно в соответствии с п. 4.1. Договора вносить арендную плату.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5.4.4. Не допускать действий, приводящих к ухудшению качественных характеристик Участка, экологической обстановки на арендуемой территории, а также к загрязнению территории города.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5.4.5. Возместить убытки, причиненные ухудшением качества арендованного Участка в результате деятельности Арендатора либо привлеченных им третьих лиц.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5.4.6. Выполнять требования соответствующих служб в части эксплуатации подземных и наземных коммуникаций, сооружений, дорог, проездов и т.п., и не препятствовать их ремонту и обслуживанию.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5.4.7. В случае, если земельный участок полностью или частично расположен в ох</w:t>
      </w:r>
      <w:r>
        <w:rPr>
          <w:rFonts w:ascii="Times New Roman" w:hAnsi="Times New Roman" w:cs="Times New Roman"/>
          <w:sz w:val="28"/>
          <w:szCs w:val="28"/>
        </w:rPr>
        <w:t xml:space="preserve">ранной зоне, установленной в отношении линейного объекта, обеспечить допуск представителей собственника линейного объекта или представителей организации, осуществляющей эксплуатацию линейного объекта, к данному объекту в целях обеспечения его безопасности.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5.4.8. Самостоятельно или по договору с третьими лицами про</w:t>
      </w:r>
      <w:r>
        <w:rPr>
          <w:rFonts w:ascii="Times New Roman" w:hAnsi="Times New Roman" w:cs="Times New Roman"/>
          <w:sz w:val="28"/>
          <w:szCs w:val="28"/>
        </w:rPr>
        <w:t xml:space="preserve">изводить уборку Участка, а также территории, по периметру прилегающей к нему на расстоянии 2-х метров со стороны земель, не находящихся в пользовании иных лиц и заключить договор на сбор и вывоз бытовых отходов с организацией, предоставляющей такие услуги.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5.4.9. 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геологоразведочные, землеустроительные и другие исследования и изыскания в проведении этих работ.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5.4.10. Не наруша</w:t>
      </w:r>
      <w:r>
        <w:rPr>
          <w:rFonts w:ascii="Times New Roman" w:hAnsi="Times New Roman" w:cs="Times New Roman"/>
          <w:sz w:val="28"/>
          <w:szCs w:val="28"/>
        </w:rPr>
        <w:t xml:space="preserve">ть права других землепользователей и арендаторов. Не препятствовать третьим лицам – смежным землепользователям, в осуществление своих прав по пользованию и владению этими лицами, находящимися у них в пользовании смежными с Арендатором земельными участками.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5.4.11. Обеспечивать Арендодателю (его законным представителям), органам государственного контроля свободный доступ на Участок, на специально выделенные части Участка, в расположенные на Участке здания и сооружения по их требованию.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5.4.12. В случае завершения строительства и регистрации права собственности, переоформить право пользования Участком в соответствии законодательством Российской Федерации.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5.4.13. В случае изменения адреса или иных реквизитов местонахождения (регистрации) Арендатора в десятидневный срок направить Арендодателю письменное уведомление об этом.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5.4.14. После подписания Договора и/ или изменений к</w:t>
      </w:r>
      <w:r>
        <w:rPr>
          <w:rFonts w:ascii="Times New Roman" w:hAnsi="Times New Roman" w:cs="Times New Roman"/>
          <w:sz w:val="28"/>
          <w:szCs w:val="28"/>
        </w:rPr>
        <w:t xml:space="preserve"> нему в течении двух месяцев произвести за счет собственных средств его (их) государственную регистрацию в органе, осуществляющим государственную регистрацию прав на недвижимое имущество и сделок с ним и в десятидневный срок уведомить об этом Арендодателя.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5.4.15. При орга</w:t>
      </w:r>
      <w:r>
        <w:rPr>
          <w:rFonts w:ascii="Times New Roman" w:hAnsi="Times New Roman" w:cs="Times New Roman"/>
          <w:sz w:val="28"/>
          <w:szCs w:val="28"/>
        </w:rPr>
        <w:t xml:space="preserve">низации работ, связанных с нарушением целостного почвенного покрова сохранять плодородный слой почвы при его снятии, излишний объем плодородного слоя почвы передавать по акту в департамент дорожного хозяйства и благоустройства администрации города Липецка.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5.4.16. Использование Участка осуществлять с учетом требований Федерального закона от 25.06.2002 №73-ФЗ «Об объектах культурного наследия (памятниках истории и культуры) народов Российской Федерации».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5.5. Арендодатель и Арендатор имеют иные права и несут иные обязанности, установленные законодательством Российской Федерации.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1"/>
        </w:numPr>
        <w:jc w:val="center"/>
        <w:spacing w:before="200" w:after="20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Ответственность сторон.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невнесения арендной платы в </w:t>
      </w:r>
      <w:r>
        <w:rPr>
          <w:rFonts w:ascii="Times New Roman" w:hAnsi="Times New Roman" w:cs="Times New Roman"/>
          <w:sz w:val="28"/>
          <w:szCs w:val="28"/>
        </w:rPr>
        <w:t xml:space="preserve">установленный Договором или уведомлением срок Арендатор уплачивает неустойку (пеню). Неустойка (пеня) начисляется за каждый календарный день просрочки исполнения обязанности по оплате, начиная со следующего за установленным Договором или уведомлением днем </w:t>
      </w:r>
      <w:r>
        <w:rPr>
          <w:rFonts w:ascii="Times New Roman" w:hAnsi="Times New Roman" w:cs="Times New Roman"/>
          <w:sz w:val="28"/>
          <w:szCs w:val="28"/>
        </w:rPr>
        <w:t xml:space="preserve">оплаты. Неустойка (пеня) за каждый день просрочки определяется в процентах от неуплаченной суммы платежа. Процентная ставка неустойки (пени) устанавливается в размере одной трехсотой действующей на дату истечения срока очередного платежа,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п.п</w:t>
      </w:r>
      <w:r>
        <w:rPr>
          <w:rFonts w:ascii="Times New Roman" w:hAnsi="Times New Roman" w:cs="Times New Roman"/>
          <w:sz w:val="28"/>
          <w:szCs w:val="28"/>
        </w:rPr>
        <w:t xml:space="preserve">. 4.1, ставки рефинансирования Центрального банка Российской Федерации. Неустойка (пеня) перечисляется на счет, указанный в п. 4.2 Договора.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нарушения п. 3.3 Договора Арендатор уплачивает</w:t>
      </w:r>
      <w:r>
        <w:rPr>
          <w:rFonts w:ascii="Times New Roman" w:hAnsi="Times New Roman" w:cs="Times New Roman"/>
          <w:sz w:val="28"/>
          <w:szCs w:val="28"/>
        </w:rPr>
        <w:t xml:space="preserve">  за  каждый день просрочки исполнения обязательства неустойку (пеню) в размере 5 % процентов арендной платы, рассчитанной по ставкам года, когда должна состояться передача Участка, без учета льгот (при их наличии у Арендатора) по арендной плате за землю.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Уплата неустойки (пени), не освобождает Арендатора от надлежащего выполнения условий Договора.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Арендатор несет ответственность в размере реального ущерба, понесенного Арендодателем в связи с неисполнением или (и) ненадлежащем исполнением Арендатором обязательств по Договору.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Сторон, не предусмотренная Договором, определяется в соответствии с действующим законодательством Российской Федерации на момент заключения Договора.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1"/>
        </w:numPr>
        <w:ind w:left="0" w:firstLine="0"/>
        <w:jc w:val="center"/>
        <w:spacing w:before="200" w:after="20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Рассмотрение споров.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Споры и разногласия, возникшие при реализации Договора, разрешаются путём переговоров. При н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достижении согласия заинтересованная Сторона вправе обратится в суд.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Стороны пришли к соглашению, что споры, возникающие при исполнении настоящего Договора и не урегулированные в добровольном порядке, в соответствии с п. 7.1 Договора, подлежат рассмотрению в суде по месту нахождения Участка.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1"/>
        </w:numPr>
        <w:ind w:left="0" w:firstLine="0"/>
        <w:jc w:val="center"/>
        <w:spacing w:before="200" w:after="20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Изменение, расторжение и прекращение Договора.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Договора могут быть изменены и дополнены только при согласии Сторон в форме дополнительного соглашения, являющегося его неотъемлемой частью и зарегистрированного в установленном порядке.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Договор может быть расторгнут досрочно с момента подписания Сторонами соглашения о расторжении Договора, его регистрации в органе, осуществляющем государственную регистрацию прав на недвижимое имущество и сделок с ним.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может быть расторгнут по требованию Арендодателя по решению суда на основании и в порядке, установленным гражданским законодательством.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расторжения Договора в св</w:t>
      </w:r>
      <w:r>
        <w:rPr>
          <w:rFonts w:ascii="Times New Roman" w:hAnsi="Times New Roman" w:cs="Times New Roman"/>
          <w:sz w:val="28"/>
          <w:szCs w:val="28"/>
        </w:rPr>
        <w:t xml:space="preserve">язи с неисполнением обязательств по Договору со стороны Арендатора, либо отказа от исполнения обязательств по Договору со стороны Арендатора, все понесенные затраты, связанные с освоением Участка, Арендатору со стороны Арендодателя компенсации не подлежат.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1"/>
        </w:numPr>
        <w:ind w:left="0" w:firstLine="0"/>
        <w:jc w:val="center"/>
        <w:spacing w:before="200" w:after="20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Особые условия Договора.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прекращении деятельности Арендатора, его правопреемник должен направить Арендодателю письменное уведомление об этом с заявкой на оформление новых документов, удостоверяющих право на Участок, или заявить отказ.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Арендатор не имеет преимущественного права на заключение на новый срок Договора аренды такого земельного участка без проведения торгов.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1"/>
        </w:numPr>
        <w:ind w:left="0" w:firstLine="0"/>
        <w:jc w:val="center"/>
        <w:spacing w:before="200" w:after="20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Заключительные положения.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1"/>
          <w:numId w:val="11"/>
        </w:num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аренды земельного участка заключается между «Арендатором» и «Арендодателем» в установленном законодательством порядке в форме электронного документа.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составлен в 2-х экземплярах, имеющих одинаковую юридическую силу, подписанные тексты договоров и приложения к ним хранятся по одному экземпляру у Арендодателя, Арендатора.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11"/>
        </w:num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подлежит государственной регистрации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1"/>
        </w:numPr>
        <w:jc w:val="center"/>
        <w:spacing w:before="12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АДРЕСА И РЕКВИЗИТЫ СТОРОН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both"/>
        <w:spacing w:before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Арендодатель: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Добринского муниципального района Липецкой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399430, Россия, Липецкая обл., Добринский р-н., Добринка п., М. Горького ул., д. 5,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УФК по Липецкой области (Администрация Добри</w:t>
      </w:r>
      <w:r>
        <w:rPr>
          <w:rFonts w:ascii="Times New Roman" w:hAnsi="Times New Roman" w:cs="Times New Roman"/>
          <w:sz w:val="28"/>
          <w:szCs w:val="28"/>
        </w:rPr>
        <w:t xml:space="preserve">нского муниципального района Липецкой области), ИНН 4804002990, КПП 480401001, банк: ОТДЕЛЕНИЕ ЛИПЕЦК БАНКА РОССИИ//УФК ПО ЛИПЕЦКОЙ ОБЛАСТИ г. Липецк, БИК 014206212, банковский счет 40102810945370000039, казначейский счет 03100643000000014600, ОКТМО 426124</w:t>
      </w:r>
      <w:r>
        <w:rPr>
          <w:rFonts w:ascii="Times New Roman" w:hAnsi="Times New Roman" w:cs="Times New Roman"/>
          <w:sz w:val="28"/>
          <w:szCs w:val="28"/>
        </w:rPr>
        <w:t xml:space="preserve">22</w:t>
      </w:r>
      <w:r>
        <w:rPr>
          <w:rFonts w:ascii="Times New Roman" w:hAnsi="Times New Roman" w:cs="Times New Roman"/>
          <w:sz w:val="28"/>
          <w:szCs w:val="28"/>
        </w:rPr>
        <w:t xml:space="preserve">, код БК 70211105013050000120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тел. (47462) 2-00-23, 2-20-25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Арендатор: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right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место рождения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СНИЛС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Зарегистрирован проживающим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23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12. Подписи Сторон:</w:t>
      </w:r>
      <w:r>
        <w:rPr>
          <w:rFonts w:ascii="Times New Roman" w:hAnsi="Times New Roman" w:cs="Times New Roman"/>
          <w:caps/>
          <w:sz w:val="28"/>
          <w:szCs w:val="28"/>
        </w:rPr>
      </w:r>
    </w:p>
    <w:p>
      <w:pPr>
        <w:jc w:val="both"/>
        <w:spacing w:before="120"/>
        <w:rPr>
          <w:rFonts w:ascii="Times New Roman" w:hAnsi="Times New Roman" w:cs="Times New Roman"/>
          <w:b/>
          <w:sz w:val="28"/>
          <w:szCs w:val="28"/>
        </w:rPr>
      </w:pPr>
      <w:r/>
      <w:bookmarkStart w:id="1" w:name="OLE_LINK14"/>
      <w:r/>
      <w:bookmarkStart w:id="2" w:name="OLE_LINK15"/>
      <w:r/>
      <w:bookmarkStart w:id="3" w:name="OLE_LINK16"/>
      <w:r>
        <w:rPr>
          <w:rFonts w:ascii="Times New Roman" w:hAnsi="Times New Roman" w:cs="Times New Roman"/>
          <w:b/>
          <w:sz w:val="28"/>
          <w:szCs w:val="28"/>
        </w:rPr>
        <w:t xml:space="preserve">Арендодатель: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Добринского муниципального района Липецкой области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right="-55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Добринского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Липецкой области         ______________ / А.Н. Пасынков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М.П.          подпись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Арендатор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4" w:name="_Hlk202780751"/>
      <w:r>
        <w:rPr>
          <w:rFonts w:ascii="Times New Roman" w:hAnsi="Times New Roman" w:cs="Times New Roman"/>
          <w:b/>
          <w:sz w:val="28"/>
          <w:szCs w:val="28"/>
        </w:rPr>
        <w:t xml:space="preserve">___________________              ________________    /_______________________</w:t>
      </w:r>
      <w:bookmarkEnd w:id="1"/>
      <w:r/>
      <w:bookmarkEnd w:id="2"/>
      <w:r/>
      <w:bookmarkEnd w:id="3"/>
      <w:r/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фамилия, имя, отчество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подпись                   расшифровка подписи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</w:p>
    <w:p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 наличии)</w:t>
      </w:r>
      <w:bookmarkEnd w:id="4"/>
      <w:r/>
      <w:r>
        <w:rPr>
          <w:rFonts w:ascii="Times New Roman" w:hAnsi="Times New Roman" w:cs="Times New Roman"/>
          <w:bCs/>
          <w:color w:val="000000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договору аренды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_______ от ________г.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Плательщик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Фамилия, имя, отчество (при наличии)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__________________ выдан 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 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Счет получателя, учреждение банка, БИК, банковский счет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УФК по Липецкой области (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Добринского муниципального района Липецкой области) ИНН 4804002990, КПП 480401001, банковский счет 40102810945370000039, ОТДЕЛЕНИЕ ЛИПЕЦК БАНКА РОССИИ//УФК ПО ЛИПЕЦКОЙ ОБЛАСТИ г. Липецк, БИК 014206212, код БК 70211105013050000120, ОКТМО 42612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22, казначейский счет: 03100643000000014600.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Расчет арендной платы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действующего на территории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Земельного законодательства арендатор должен уплатить арендную плату: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060" w:type="dxa"/>
        <w:jc w:val="center"/>
        <w:tblLayout w:type="fixed"/>
        <w:tblLook w:val="0000" w:firstRow="0" w:lastRow="0" w:firstColumn="0" w:lastColumn="0" w:noHBand="0" w:noVBand="0"/>
      </w:tblPr>
      <w:tblGrid>
        <w:gridCol w:w="1555"/>
        <w:gridCol w:w="1570"/>
        <w:gridCol w:w="2580"/>
        <w:gridCol w:w="1770"/>
        <w:gridCol w:w="1275"/>
        <w:gridCol w:w="1310"/>
      </w:tblGrid>
      <w:tr>
        <w:tblPrEx/>
        <w:trPr>
          <w:jc w:val="center"/>
          <w:trHeight w:val="880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55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земельного участка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57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 земельного участка,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кв.м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258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Кадастровый номер земельного участка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77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Кадастровая стоимость земельного участка, руб.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Ставка арендной платы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3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арендной платы, руб.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401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55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57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258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77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27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3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год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55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/>
            <w:bookmarkStart w:id="5" w:name="OLE_LINK20"/>
            <w:r/>
            <w:bookmarkStart w:id="6" w:name="OLE_LINK21"/>
            <w:r/>
            <w:bookmarkEnd w:id="5"/>
            <w:r/>
            <w:bookmarkEnd w:id="6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5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25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7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3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39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55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25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3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166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55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r>
              <w:rPr>
                <w:rFonts w:ascii="Times New Roman" w:hAnsi="Times New Roman" w:cs="Times New Roman"/>
              </w:rPr>
              <w:t xml:space="preserve">уплаты: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25 марта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25 июня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25 сентября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15 ноября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25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tcW w:w="13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Арендодатель: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Добринского муниципального района Липецкой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Style w:val="71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200"/>
        <w:gridCol w:w="3996"/>
        <w:gridCol w:w="244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00" w:type="dxa"/>
            <w:textDirection w:val="lrTb"/>
            <w:noWrap w:val="false"/>
          </w:tcPr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Глава</w:t>
            </w:r>
            <w:r>
              <w:rPr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  <w:t xml:space="preserve">администрации</w:t>
            </w:r>
            <w:r>
              <w:rPr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</w:t>
            </w:r>
            <w:r>
              <w:rPr>
                <w:sz w:val="28"/>
                <w:szCs w:val="28"/>
              </w:rPr>
            </w:r>
          </w:p>
          <w:p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(подпись, МП.)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42" w:type="dxa"/>
            <w:textDirection w:val="lrTb"/>
            <w:noWrap w:val="false"/>
          </w:tcPr>
          <w:p>
            <w:pPr>
              <w:ind w:left="318"/>
              <w:jc w:val="left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Пасынков</w:t>
            </w:r>
            <w:r>
              <w:rPr>
                <w:sz w:val="28"/>
                <w:szCs w:val="28"/>
                <w:lang w:val="en-US" w:eastAsia="en-US"/>
              </w:rPr>
              <w:t xml:space="preserve">  А.Н.</w:t>
            </w:r>
            <w:r>
              <w:rPr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</w:r>
          </w:p>
          <w:p>
            <w:pPr>
              <w:ind w:left="31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Арендатор: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              ________________    /_______________________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фамилия, имя, отчество                      подпись                   расшифровка подписи (при наличии)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567" w:bottom="993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dale Sans UI">
    <w:panose1 w:val="00000700000000000000"/>
  </w:font>
  <w:font w:name="NTHarmonica">
    <w:panose1 w:val="00000700000000000000"/>
  </w:font>
  <w:font w:name="Wingdings">
    <w:panose1 w:val="05010000000000000000"/>
  </w:font>
  <w:font w:name="Symbol">
    <w:panose1 w:val="05010000000000000000"/>
  </w:font>
  <w:font w:name="Tahoma">
    <w:panose1 w:val="020B06040305040402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 w:cs="Times New Roman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610" w:hanging="118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-"/>
      <w:lvlJc w:val="left"/>
      <w:pPr>
        <w:ind w:left="3015" w:hanging="1035"/>
        <w:tabs>
          <w:tab w:val="num" w:pos="3015" w:leader="none"/>
        </w:tabs>
      </w:pPr>
      <w:rPr>
        <w:rFonts w:hint="default" w:ascii="Arial" w:hAnsi="Arial" w:eastAsia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3060" w:hanging="360"/>
        <w:tabs>
          <w:tab w:val="num" w:pos="306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80" w:hanging="360"/>
        <w:tabs>
          <w:tab w:val="num" w:pos="378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00" w:hanging="360"/>
        <w:tabs>
          <w:tab w:val="num" w:pos="45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220" w:hanging="360"/>
        <w:tabs>
          <w:tab w:val="num" w:pos="522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940" w:hanging="360"/>
        <w:tabs>
          <w:tab w:val="num" w:pos="594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60" w:hanging="360"/>
        <w:tabs>
          <w:tab w:val="num" w:pos="66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80" w:hanging="360"/>
        <w:tabs>
          <w:tab w:val="num" w:pos="7380" w:leader="none"/>
        </w:tabs>
      </w:pPr>
      <w:rPr>
        <w:rFonts w:hint="default" w:ascii="Wingdings" w:hAnsi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987" w:hanging="420"/>
      </w:pPr>
      <w:rPr>
        <w:rFonts w:hint="default" w:ascii="Times New Roman" w:hAnsi="Times New Roman" w:eastAsia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2"/>
  </w:num>
  <w:num w:numId="5">
    <w:abstractNumId w:val="8"/>
  </w:num>
  <w:num w:numId="6">
    <w:abstractNumId w:val="3"/>
  </w:num>
  <w:num w:numId="7">
    <w:abstractNumId w:val="11"/>
  </w:num>
  <w:num w:numId="8">
    <w:abstractNumId w:val="5"/>
  </w:num>
  <w:num w:numId="9">
    <w:abstractNumId w:val="7"/>
  </w:num>
  <w:num w:numId="10">
    <w:abstractNumId w:val="6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8"/>
    <w:next w:val="67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1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1"/>
    <w:link w:val="67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1"/>
    <w:link w:val="680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8"/>
    <w:next w:val="67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8"/>
    <w:next w:val="67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8"/>
    <w:next w:val="67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8"/>
    <w:next w:val="67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8"/>
    <w:next w:val="67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8"/>
    <w:next w:val="67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81"/>
    <w:link w:val="707"/>
    <w:uiPriority w:val="10"/>
    <w:rPr>
      <w:sz w:val="48"/>
      <w:szCs w:val="48"/>
    </w:rPr>
  </w:style>
  <w:style w:type="character" w:styleId="37">
    <w:name w:val="Subtitle Char"/>
    <w:basedOn w:val="681"/>
    <w:link w:val="709"/>
    <w:uiPriority w:val="11"/>
    <w:rPr>
      <w:sz w:val="24"/>
      <w:szCs w:val="24"/>
    </w:rPr>
  </w:style>
  <w:style w:type="paragraph" w:styleId="38">
    <w:name w:val="Quote"/>
    <w:basedOn w:val="678"/>
    <w:next w:val="67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8"/>
    <w:next w:val="67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1"/>
    <w:link w:val="690"/>
    <w:uiPriority w:val="99"/>
  </w:style>
  <w:style w:type="character" w:styleId="45">
    <w:name w:val="Footer Char"/>
    <w:basedOn w:val="681"/>
    <w:link w:val="692"/>
    <w:uiPriority w:val="99"/>
  </w:style>
  <w:style w:type="paragraph" w:styleId="46">
    <w:name w:val="Caption"/>
    <w:basedOn w:val="678"/>
    <w:next w:val="67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81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5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1"/>
    <w:uiPriority w:val="99"/>
    <w:unhideWhenUsed/>
    <w:rPr>
      <w:vertAlign w:val="superscript"/>
    </w:rPr>
  </w:style>
  <w:style w:type="paragraph" w:styleId="178">
    <w:name w:val="endnote text"/>
    <w:basedOn w:val="67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1"/>
    <w:uiPriority w:val="99"/>
    <w:semiHidden/>
    <w:unhideWhenUsed/>
    <w:rPr>
      <w:vertAlign w:val="superscript"/>
    </w:rPr>
  </w:style>
  <w:style w:type="paragraph" w:styleId="181">
    <w:name w:val="toc 1"/>
    <w:basedOn w:val="678"/>
    <w:next w:val="67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8"/>
    <w:next w:val="67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8"/>
    <w:next w:val="67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8"/>
    <w:next w:val="67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8"/>
    <w:next w:val="67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8"/>
    <w:next w:val="67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8"/>
    <w:next w:val="67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8"/>
    <w:next w:val="67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8"/>
    <w:next w:val="67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8"/>
    <w:next w:val="678"/>
    <w:uiPriority w:val="99"/>
    <w:unhideWhenUsed/>
    <w:pPr>
      <w:spacing w:after="0" w:afterAutospacing="0"/>
    </w:pPr>
  </w:style>
  <w:style w:type="paragraph" w:styleId="678" w:default="1">
    <w:name w:val="Normal"/>
    <w:qFormat/>
  </w:style>
  <w:style w:type="paragraph" w:styleId="679">
    <w:name w:val="Heading 2"/>
    <w:basedOn w:val="678"/>
    <w:next w:val="678"/>
    <w:link w:val="706"/>
    <w:uiPriority w:val="9"/>
    <w:semiHidden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680">
    <w:name w:val="Heading 3"/>
    <w:basedOn w:val="678"/>
    <w:next w:val="678"/>
    <w:link w:val="700"/>
    <w:qFormat/>
    <w:pPr>
      <w:keepNext/>
      <w:spacing w:before="240" w:after="60" w:line="240" w:lineRule="auto"/>
      <w:outlineLvl w:val="2"/>
    </w:pPr>
    <w:rPr>
      <w:rFonts w:ascii="Arial" w:hAnsi="Arial" w:eastAsia="Times New Roman" w:cs="Arial"/>
      <w:b/>
      <w:bCs/>
      <w:color w:val="000000"/>
      <w:sz w:val="26"/>
      <w:szCs w:val="26"/>
      <w:lang w:eastAsia="ru-RU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paragraph" w:styleId="684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685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86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687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paragraph" w:styleId="688">
    <w:name w:val="Balloon Text"/>
    <w:basedOn w:val="678"/>
    <w:link w:val="68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89" w:customStyle="1">
    <w:name w:val="Текст выноски Знак"/>
    <w:basedOn w:val="681"/>
    <w:link w:val="688"/>
    <w:uiPriority w:val="99"/>
    <w:semiHidden/>
    <w:rPr>
      <w:rFonts w:ascii="Tahoma" w:hAnsi="Tahoma" w:cs="Tahoma"/>
      <w:sz w:val="16"/>
      <w:szCs w:val="16"/>
    </w:rPr>
  </w:style>
  <w:style w:type="paragraph" w:styleId="690">
    <w:name w:val="Header"/>
    <w:basedOn w:val="678"/>
    <w:link w:val="691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1" w:customStyle="1">
    <w:name w:val="Верхний колонтитул Знак"/>
    <w:basedOn w:val="681"/>
    <w:link w:val="690"/>
  </w:style>
  <w:style w:type="paragraph" w:styleId="692">
    <w:name w:val="Footer"/>
    <w:basedOn w:val="678"/>
    <w:link w:val="69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3" w:customStyle="1">
    <w:name w:val="Нижний колонтитул Знак"/>
    <w:basedOn w:val="681"/>
    <w:link w:val="692"/>
    <w:uiPriority w:val="99"/>
  </w:style>
  <w:style w:type="character" w:styleId="694">
    <w:name w:val="Hyperlink"/>
    <w:basedOn w:val="681"/>
    <w:uiPriority w:val="99"/>
    <w:unhideWhenUsed/>
    <w:rPr>
      <w:color w:val="0563c1" w:themeColor="hyperlink"/>
      <w:u w:val="single"/>
    </w:rPr>
  </w:style>
  <w:style w:type="character" w:styleId="695" w:customStyle="1">
    <w:name w:val="Неразрешенное упоминание1"/>
    <w:basedOn w:val="681"/>
    <w:uiPriority w:val="99"/>
    <w:semiHidden/>
    <w:unhideWhenUsed/>
    <w:rPr>
      <w:color w:val="605e5c"/>
      <w:shd w:val="clear" w:color="auto" w:fill="e1dfdd"/>
    </w:rPr>
  </w:style>
  <w:style w:type="paragraph" w:styleId="696" w:customStyle="1">
    <w:name w:val="ConsNormal"/>
    <w:uiPriority w:val="99"/>
    <w:pPr>
      <w:ind w:right="19772"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697" w:customStyle="1">
    <w:name w:val="ConsNonformat"/>
    <w:uiPriority w:val="99"/>
    <w:pPr>
      <w:ind w:right="19772"/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98">
    <w:name w:val="List Paragraph"/>
    <w:basedOn w:val="678"/>
    <w:uiPriority w:val="34"/>
    <w:qFormat/>
    <w:pPr>
      <w:contextualSpacing/>
      <w:ind w:left="720"/>
    </w:pPr>
  </w:style>
  <w:style w:type="character" w:styleId="699">
    <w:name w:val="Unresolved Mention"/>
    <w:basedOn w:val="681"/>
    <w:uiPriority w:val="99"/>
    <w:semiHidden/>
    <w:unhideWhenUsed/>
    <w:rPr>
      <w:color w:val="605e5c"/>
      <w:shd w:val="clear" w:color="auto" w:fill="e1dfdd"/>
    </w:rPr>
  </w:style>
  <w:style w:type="character" w:styleId="700" w:customStyle="1">
    <w:name w:val="Заголовок 3 Знак"/>
    <w:basedOn w:val="681"/>
    <w:link w:val="680"/>
    <w:rPr>
      <w:rFonts w:ascii="Arial" w:hAnsi="Arial" w:eastAsia="Times New Roman" w:cs="Arial"/>
      <w:b/>
      <w:bCs/>
      <w:color w:val="000000"/>
      <w:sz w:val="26"/>
      <w:szCs w:val="26"/>
      <w:lang w:eastAsia="ru-RU"/>
    </w:rPr>
  </w:style>
  <w:style w:type="table" w:styleId="701" w:customStyle="1">
    <w:name w:val="Bordered &amp; Lined - Accent 4"/>
    <w:link w:val="703"/>
    <w:uiPriority w:val="99"/>
    <w:pPr>
      <w:spacing w:after="0" w:line="240" w:lineRule="auto"/>
    </w:pPr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paragraph" w:styleId="702" w:customStyle="1">
    <w:name w:val="rvps1"/>
    <w:basedOn w:val="678"/>
    <w:pPr>
      <w:jc w:val="center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3" w:customStyle="1">
    <w:name w:val="Основной текст с отступом 21"/>
    <w:link w:val="701"/>
    <w:uiPriority w:val="99"/>
    <w:unhideWhenUsed/>
    <w:pPr>
      <w:ind w:left="283"/>
      <w:spacing w:after="120" w:line="48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4" w:customStyle="1">
    <w:name w:val="western"/>
    <w:pPr>
      <w:jc w:val="both"/>
      <w:spacing w:before="100" w:beforeAutospacing="1" w:after="119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705" w:customStyle="1">
    <w:name w:val="Default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706" w:customStyle="1">
    <w:name w:val="Заголовок 2 Знак"/>
    <w:basedOn w:val="681"/>
    <w:link w:val="679"/>
    <w:uiPriority w:val="9"/>
    <w:semiHidden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707">
    <w:name w:val="Title"/>
    <w:basedOn w:val="678"/>
    <w:link w:val="708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708" w:customStyle="1">
    <w:name w:val="Заголовок Знак"/>
    <w:basedOn w:val="681"/>
    <w:link w:val="707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709">
    <w:name w:val="Subtitle"/>
    <w:basedOn w:val="678"/>
    <w:link w:val="710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710" w:customStyle="1">
    <w:name w:val="Подзаголовок Знак"/>
    <w:basedOn w:val="681"/>
    <w:link w:val="709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table" w:styleId="711">
    <w:name w:val="Table Grid"/>
    <w:basedOn w:val="682"/>
    <w:uiPriority w:val="99"/>
    <w:pPr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0" w:type="dxa"/>
        <w:right w:w="0" w:type="dxa"/>
      </w:tblCellMar>
    </w:tblPr>
  </w:style>
  <w:style w:type="table" w:styleId="712">
    <w:name w:val="Grid Table Light"/>
    <w:basedOn w:val="682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713" w:customStyle="1">
    <w:name w:val="Îñíîâíîé òåêñò 2"/>
    <w:basedOn w:val="678"/>
    <w:pPr>
      <w:ind w:firstLine="720"/>
      <w:jc w:val="both"/>
      <w:spacing w:after="0" w:line="240" w:lineRule="auto"/>
      <w:widowControl w:val="off"/>
    </w:pPr>
    <w:rPr>
      <w:rFonts w:ascii="Times New Roman" w:hAnsi="Times New Roman" w:eastAsia="Calibri" w:cs="Times New Roman"/>
      <w:b/>
      <w:bCs/>
      <w:color w:val="000000"/>
      <w:sz w:val="24"/>
      <w:szCs w:val="24"/>
      <w:lang w:val="en-US" w:eastAsia="ru-RU"/>
    </w:rPr>
  </w:style>
  <w:style w:type="paragraph" w:styleId="714" w:customStyle="1">
    <w:name w:val="Таблица_Текст слева"/>
    <w:basedOn w:val="678"/>
    <w:link w:val="715"/>
    <w:pPr>
      <w:spacing w:after="0" w:line="240" w:lineRule="auto"/>
    </w:pPr>
    <w:rPr>
      <w:rFonts w:ascii="Times New Roman" w:hAnsi="Times New Roman" w:eastAsia="Times New Roman" w:cs="Times New Roman"/>
      <w:lang w:eastAsia="zh-CN"/>
    </w:rPr>
  </w:style>
  <w:style w:type="character" w:styleId="715" w:customStyle="1">
    <w:name w:val="Таблица_Текст слева Знак"/>
    <w:link w:val="714"/>
    <w:rPr>
      <w:rFonts w:ascii="Times New Roman" w:hAnsi="Times New Roman" w:eastAsia="Times New Roman" w:cs="Times New Roman"/>
      <w:lang w:eastAsia="zh-CN"/>
    </w:rPr>
  </w:style>
  <w:style w:type="paragraph" w:styleId="716" w:customStyle="1">
    <w:name w:val="Нормальный (таблица)"/>
    <w:basedOn w:val="678"/>
    <w:next w:val="678"/>
    <w:uiPriority w:val="99"/>
    <w:pPr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dobrinka@admlr.lipetsk.ru" TargetMode="External"/><Relationship Id="rId11" Type="http://schemas.openxmlformats.org/officeDocument/2006/relationships/hyperlink" Target="https://nspd.gov.ru" TargetMode="External"/><Relationship Id="rId12" Type="http://schemas.openxmlformats.org/officeDocument/2006/relationships/hyperlink" Target="http://www.roseltorg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DC55D-1D5C-4356-B069-5666AB1A9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 Николай Александрович</dc:creator>
  <cp:keywords/>
  <dc:description/>
  <cp:lastModifiedBy>Сергей Горбачёв</cp:lastModifiedBy>
  <cp:revision>3</cp:revision>
  <dcterms:created xsi:type="dcterms:W3CDTF">2025-11-18T12:20:00Z</dcterms:created>
  <dcterms:modified xsi:type="dcterms:W3CDTF">2025-12-12T06:37:24Z</dcterms:modified>
</cp:coreProperties>
</file>