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position:absolute;z-index:251658240;o:allowoverlap:true;o:allowincell:true;mso-position-horizontal-relative:text;margin-left:205.60pt;mso-position-horizontal:absolute;mso-position-vertical-relative:text;margin-top:-10.30pt;mso-position-vertical:absolute;width:39.30pt;height:50.45pt;mso-wrap-distance-left:9.00pt;mso-wrap-distance-top:0.00pt;mso-wrap-distance-right:9.00pt;mso-wrap-distance-bottom:0.00pt;" filled="f" stroked="f">
            <v:path textboxrect="0,0,0,0"/>
            <v:imagedata r:id="rId12" o:title=""/>
          </v:shape>
          <o:OLEObject DrawAspect="Content" r:id="rId13" ObjectID="_1525040" ProgID="Photoshop.Image.6" ShapeID="_x0000_i0" Type="Embed"/>
        </w:objec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АДМИНИСТРАЦИИ ДОБРИНСКОГО МУНИЦИПАЛЬНОГО РАЙОНА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ЛИПЕЦКОЙ ОБЛАСТИ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п. Добринка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23.10.2025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widowControl w:val="off"/>
        <w:tabs>
          <w:tab w:val="left" w:pos="765" w:leader="none"/>
          <w:tab w:val="center" w:pos="4677" w:leader="none"/>
        </w:tabs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О внесении изменений в п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остановление администрации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jc w:val="center"/>
        <w:spacing w:after="0"/>
        <w:widowControl w:val="off"/>
        <w:tabs>
          <w:tab w:val="left" w:pos="765" w:leader="none"/>
          <w:tab w:val="center" w:pos="4677" w:leader="none"/>
        </w:tabs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 муниципального района №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848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 31.08.2023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г.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jc w:val="center"/>
        <w:spacing w:after="0"/>
        <w:widowControl w:val="off"/>
        <w:tabs>
          <w:tab w:val="left" w:pos="765" w:leader="none"/>
          <w:tab w:val="center" w:pos="4677" w:leader="none"/>
        </w:tabs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О Порядке формирования муниципальных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социальных заказов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jc w:val="center"/>
        <w:spacing w:after="0"/>
        <w:widowControl w:val="off"/>
        <w:tabs>
          <w:tab w:val="left" w:pos="765" w:leader="none"/>
          <w:tab w:val="center" w:pos="4677" w:leader="none"/>
        </w:tabs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на оказание </w:t>
      </w:r>
      <w:r>
        <w:rPr>
          <w:rFonts w:ascii="Times New Roman" w:hAnsi="Times New Roman" w:eastAsia="Times New Roman" w:cs="Times New Roman"/>
          <w:b/>
          <w:bCs/>
          <w:iCs/>
          <w:sz w:val="27"/>
          <w:szCs w:val="27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услуг в социальной сфере, отнесенных к полномочиям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органов местного самоуправления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jc w:val="center"/>
        <w:spacing w:after="0"/>
        <w:widowControl w:val="off"/>
        <w:tabs>
          <w:tab w:val="left" w:pos="765" w:leader="none"/>
          <w:tab w:val="center" w:pos="4677" w:leader="none"/>
        </w:tabs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Добринского</w:t>
      </w:r>
      <w:r>
        <w:rPr>
          <w:rFonts w:ascii="Times New Roman" w:hAnsi="Times New Roman" w:cs="Times New Roman"/>
          <w:b/>
          <w:sz w:val="27"/>
          <w:szCs w:val="27"/>
        </w:rPr>
        <w:t xml:space="preserve"> муниципального района Липецкой области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jc w:val="center"/>
        <w:spacing w:after="0"/>
        <w:widowControl w:val="off"/>
        <w:tabs>
          <w:tab w:val="left" w:pos="765" w:leader="none"/>
          <w:tab w:val="center" w:pos="4677" w:leader="none"/>
        </w:tabs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о форме и сроках формирования отчета об их исполнении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jc w:val="center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764"/>
        <w:spacing w:line="360" w:lineRule="auto"/>
        <w:rPr>
          <w:rFonts w:ascii="Times New Roman" w:hAnsi="Times New Roman"/>
          <w:sz w:val="28"/>
          <w:szCs w:val="28"/>
        </w:rPr>
      </w:pPr>
      <w:r/>
      <w:bookmarkStart w:id="0" w:name="_Hlk125643972"/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целях приведения в соответствие с Фе</w:t>
      </w:r>
      <w:r>
        <w:rPr>
          <w:rFonts w:ascii="Times New Roman" w:hAnsi="Times New Roman"/>
          <w:sz w:val="28"/>
          <w:szCs w:val="28"/>
          <w:lang w:eastAsia="ru-RU"/>
        </w:rPr>
        <w:t xml:space="preserve">деральным законом от 26.12.2024г. </w:t>
      </w:r>
      <w:r>
        <w:rPr>
          <w:rFonts w:ascii="Times New Roman" w:hAnsi="Times New Roman"/>
          <w:sz w:val="28"/>
          <w:szCs w:val="28"/>
          <w:lang w:eastAsia="ru-RU"/>
        </w:rPr>
        <w:t xml:space="preserve">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r>
        <w:rPr>
          <w:rFonts w:ascii="Times New Roman" w:hAnsi="Times New Roman"/>
          <w:sz w:val="28"/>
          <w:szCs w:val="28"/>
        </w:rPr>
        <w:t xml:space="preserve">Добринского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Липецкой области постановляет:</w:t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/>
          <w:sz w:val="28"/>
          <w:szCs w:val="28"/>
        </w:rPr>
        <w:t xml:space="preserve">Добринского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Липецкой области №848 от 31.08.2023г. «</w:t>
      </w:r>
      <w:r>
        <w:rPr>
          <w:rFonts w:ascii="Times New Roman" w:hAnsi="Times New Roman"/>
          <w:sz w:val="28"/>
          <w:szCs w:val="28"/>
          <w:lang w:eastAsia="ru-RU"/>
        </w:rPr>
        <w:t xml:space="preserve">О Порядке формирования муниципальных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социальных заказов на оказание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 в социальной сфере, отнесенных к полномочиям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Добринского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Липецкой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о форме и сроках формирования отчета об их исполнении» следующие изменения: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64"/>
        <w:numPr>
          <w:ilvl w:val="1"/>
          <w:numId w:val="29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абзац 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1 Порядка изложить в следующей редакции «правила выбора способа (способов) определения исполнителя услуг из числа способов, установленных частью 3 статьи 7 Федерального закона «О государственном (муниципальном) социальном заказе на оказание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государственных (муниципальных) услуг в социальной сфере» (далее - Федеральный закон №189-ФЗ), в том числе определения объема оказания муниципальных услуг в </w:t>
      </w:r>
      <w:r>
        <w:rPr>
          <w:rFonts w:ascii="Times New Roman" w:hAnsi="Times New Roman"/>
          <w:sz w:val="28"/>
          <w:szCs w:val="28"/>
          <w:lang w:eastAsia="ru-RU"/>
        </w:rPr>
        <w:t xml:space="preserve">социальной сфере на основании муниципального задания на оказание муниципальных услуг (выполнение работ), включаемого в муниципальный социальный заказ, если способ (способы) определения исполнителей услуг не определен (не определены) федеральными законами»;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64"/>
        <w:numPr>
          <w:ilvl w:val="1"/>
          <w:numId w:val="29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абзаце 1 пункта 12 слова «если такой способ не определен федеральными законами, решениями Президента Российской Фед</w:t>
      </w:r>
      <w:r>
        <w:rPr>
          <w:rFonts w:ascii="Times New Roman" w:hAnsi="Times New Roman"/>
          <w:sz w:val="28"/>
          <w:szCs w:val="28"/>
          <w:lang w:eastAsia="ru-RU"/>
        </w:rPr>
        <w:t xml:space="preserve">ерации, Правительства Российской Федерации, законами Липецкой области, нормативными правовыми актами Правительства Липецкой области» заменить словами «если способ (способы) определения исполнителей услуг не определен (не определены) федеральными законами»;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64"/>
        <w:ind w:left="709" w:hanging="709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пункте 16 слова «в порядке, установленном Министерством финансов Российской Федерации» заменить словами «в соответствии с порядком разме</w:t>
      </w:r>
      <w:r>
        <w:rPr>
          <w:rFonts w:ascii="Times New Roman" w:hAnsi="Times New Roman"/>
          <w:sz w:val="28"/>
          <w:szCs w:val="28"/>
          <w:lang w:eastAsia="ru-RU"/>
        </w:rPr>
        <w:t xml:space="preserve">щения такой информации, установленным федеральным органом исполнительной власти, осуществляющим функции по выработке государственной политики и нормативно правовому регулированию в сфере бюджетной, налоговой, страховой, валютной и банковской деятельности»;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64"/>
        <w:ind w:left="567" w:hanging="56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</w:t>
      </w: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Внести в  По</w:t>
      </w:r>
      <w:r>
        <w:rPr>
          <w:rFonts w:ascii="Times New Roman" w:hAnsi="Times New Roman"/>
          <w:sz w:val="28"/>
          <w:szCs w:val="28"/>
          <w:lang w:eastAsia="ru-RU"/>
        </w:rPr>
        <w:t xml:space="preserve">рядок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sz w:val="28"/>
          <w:szCs w:val="28"/>
          <w:lang w:eastAsia="ru-RU"/>
        </w:rPr>
        <w:t xml:space="preserve">ункт </w:t>
      </w:r>
      <w:r>
        <w:rPr>
          <w:rFonts w:ascii="Times New Roman" w:hAnsi="Times New Roman"/>
          <w:sz w:val="28"/>
          <w:szCs w:val="28"/>
          <w:lang w:eastAsia="ru-RU"/>
        </w:rPr>
        <w:t xml:space="preserve">35 следующего содержания: «</w:t>
      </w:r>
      <w:r>
        <w:rPr>
          <w:rFonts w:ascii="Times New Roman" w:hAnsi="Times New Roman"/>
          <w:sz w:val="28"/>
          <w:szCs w:val="28"/>
        </w:rPr>
        <w:t xml:space="preserve">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</w:t>
      </w:r>
      <w:r>
        <w:rPr>
          <w:rFonts w:ascii="Times New Roman" w:hAnsi="Times New Roman"/>
          <w:sz w:val="28"/>
          <w:szCs w:val="28"/>
        </w:rPr>
        <w:t xml:space="preserve">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</w:t>
      </w:r>
      <w:r>
        <w:rPr>
          <w:rFonts w:ascii="Times New Roman" w:hAnsi="Times New Roman"/>
          <w:sz w:val="28"/>
          <w:szCs w:val="28"/>
        </w:rPr>
        <w:t xml:space="preserve">муниципальных учреждениях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ind w:hanging="14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Внести в По</w:t>
      </w:r>
      <w:r>
        <w:rPr>
          <w:rFonts w:ascii="Times New Roman" w:hAnsi="Times New Roman"/>
          <w:sz w:val="28"/>
          <w:szCs w:val="28"/>
        </w:rPr>
        <w:t xml:space="preserve">рядок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ункт </w:t>
      </w:r>
      <w:r>
        <w:rPr>
          <w:rFonts w:ascii="Times New Roman" w:hAnsi="Times New Roman"/>
          <w:sz w:val="28"/>
          <w:szCs w:val="28"/>
        </w:rPr>
        <w:t xml:space="preserve">36 следующего содержания: «Показатели </w:t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эффективности организации оказания муниципальных услуг в </w:t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ind w:left="426" w:hanging="142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Добринского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учетом особенностей, установленных частью 8 статьи 6 Федерального закона, в случае, если они не определены </w:t>
      </w:r>
      <w:r>
        <w:rPr>
          <w:rFonts w:ascii="Times New Roman" w:hAnsi="Times New Roman"/>
          <w:iCs/>
          <w:sz w:val="28"/>
          <w:szCs w:val="28"/>
        </w:rPr>
        <w:t xml:space="preserve">высшим исполнительным органом субъекта Российской Федерации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</w:t>
      </w:r>
      <w:bookmarkStart w:id="1" w:name="_Hlk210576243"/>
      <w:r>
        <w:rPr>
          <w:rFonts w:ascii="Times New Roman" w:hAnsi="Times New Roman"/>
          <w:sz w:val="28"/>
          <w:szCs w:val="28"/>
        </w:rPr>
        <w:t xml:space="preserve">Показатели эффективности организации оказания</w:t>
      </w:r>
      <w:r>
        <w:rPr>
          <w:rFonts w:ascii="Times New Roman" w:hAnsi="Times New Roman"/>
          <w:sz w:val="28"/>
          <w:szCs w:val="28"/>
        </w:rPr>
        <w:t xml:space="preserve">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по годам исполнения муниципального социального заказа</w:t>
      </w:r>
      <w:bookmarkEnd w:id="1"/>
      <w:r>
        <w:rPr>
          <w:rFonts w:ascii="Times New Roman" w:hAnsi="Times New Roman"/>
          <w:sz w:val="28"/>
          <w:szCs w:val="28"/>
        </w:rPr>
        <w:t xml:space="preserve"> согласно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риложению №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п</w:t>
      </w:r>
      <w:r>
        <w:rPr>
          <w:rFonts w:ascii="Times New Roman" w:hAnsi="Times New Roman"/>
          <w:sz w:val="28"/>
          <w:szCs w:val="28"/>
        </w:rPr>
        <w:t xml:space="preserve">остановления.</w:t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Настоящее п</w:t>
      </w:r>
      <w:r>
        <w:rPr>
          <w:rFonts w:ascii="Times New Roman" w:hAnsi="Times New Roman"/>
          <w:sz w:val="28"/>
          <w:szCs w:val="28"/>
        </w:rPr>
        <w:t xml:space="preserve">остановление вступает в силу со дня его подписания и подлежит обязательному опубликованию.</w:t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</w:t>
      </w:r>
      <w:r>
        <w:rPr>
          <w:rFonts w:ascii="Times New Roman" w:hAnsi="Times New Roman"/>
          <w:sz w:val="28"/>
          <w:szCs w:val="28"/>
        </w:rPr>
        <w:t xml:space="preserve">роль за выполнением настоящего п</w:t>
      </w:r>
      <w:r>
        <w:rPr>
          <w:rFonts w:ascii="Times New Roman" w:hAnsi="Times New Roman"/>
          <w:sz w:val="28"/>
          <w:szCs w:val="28"/>
        </w:rPr>
        <w:t xml:space="preserve">остановления возложить на заместителя главы администрации </w:t>
      </w:r>
      <w:r>
        <w:rPr>
          <w:rFonts w:ascii="Times New Roman" w:hAnsi="Times New Roman"/>
          <w:sz w:val="28"/>
          <w:szCs w:val="28"/>
        </w:rPr>
        <w:t xml:space="preserve">Добринского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Липецкой области Малыхина О.Н.</w:t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spacing w:after="0" w:line="240" w:lineRule="auto"/>
        <w:tabs>
          <w:tab w:val="left" w:pos="411" w:leader="none"/>
        </w:tabs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Глава администрации</w:t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Добринского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муниципального района           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А.Н. Пасынков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.</w:t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</w:r>
      <w:r>
        <w:rPr>
          <w:rFonts w:ascii="Times New Roman" w:hAnsi="Times New Roman" w:cs="Times New Roman"/>
          <w:b/>
          <w:bCs/>
          <w:sz w:val="27"/>
          <w:szCs w:val="27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7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p>
      <w:pPr>
        <w:sectPr>
          <w:footnotePr/>
          <w:endnotePr/>
          <w:type w:val="nextPage"/>
          <w:pgSz w:w="11906" w:h="16838" w:orient="portrait"/>
          <w:pgMar w:top="851" w:right="851" w:bottom="851" w:left="1701" w:header="510" w:footer="397" w:gutter="0"/>
          <w:cols w:num="1" w:sep="0" w:space="720" w:equalWidth="1"/>
          <w:docGrid w:linePitch="360"/>
        </w:sectPr>
      </w:pPr>
      <w:r/>
      <w:r/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оказания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по годам исполнения муниципального социального заказа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54"/>
        <w:tblW w:w="15451" w:type="dxa"/>
        <w:tblInd w:w="-147" w:type="dxa"/>
        <w:tblLook w:val="04A0" w:firstRow="1" w:lastRow="0" w:firstColumn="1" w:lastColumn="0" w:noHBand="0" w:noVBand="1"/>
      </w:tblPr>
      <w:tblGrid>
        <w:gridCol w:w="533"/>
        <w:gridCol w:w="2158"/>
        <w:gridCol w:w="1335"/>
        <w:gridCol w:w="2159"/>
        <w:gridCol w:w="1246"/>
        <w:gridCol w:w="1246"/>
        <w:gridCol w:w="1246"/>
        <w:gridCol w:w="1246"/>
        <w:gridCol w:w="1246"/>
        <w:gridCol w:w="1246"/>
        <w:gridCol w:w="179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2026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2027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2029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2030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охвата услугами/доступа к услугам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компания для потребителей государственных услуг в социальной сфере по направлению деятельности «реализация дополнительных общеразвивающих программ для детей» (далее - потребитель услуг) и исполнителей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Добринского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итоговый 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от 5 до 18 лет, охваченных дополнительным образованием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82,1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82,2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82,4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82,5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Добринского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потребителей услуг, получивших государственную услугу в социальной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сфере по реализации дополнительных общеразвивающих программ, у исполнителей услуг, не являющихся государственными учреждениями,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Добринского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оказанных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оценки показателя доступности услуг и показателя количества организаций, используемых для выбора способа определения исполнителей государственного социального заказа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Добринского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 удовлетворенности граждан оказанием государственных услуг в социальной сфере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исполни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телей услуг, оказывающих государственные услуги в социальной сфере по реализации дополнительных общеразвивающих программ для детей, проводящих мониторинг удовлетворенности потребителей услуг, которым исполнители оказали государственные услуги в социальной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сфере, качеством социальных услуг,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Добринского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потребителей услуг, удовлетворенных качеством государственных услуг в социальной сфере по реализации дополнительных общеразвивающих программ для детей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Добринском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82,5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83,5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83,7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Добринского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r/>
      <w:r/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566" w:right="820" w:bottom="1133" w:left="709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5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19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1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4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4"/>
      <w:numFmt w:val="decimal"/>
      <w:isLgl/>
      <w:suff w:val="tab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40" w:hanging="300"/>
        <w:tabs>
          <w:tab w:val="num" w:pos="54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5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1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4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4"/>
    <w:lvlOverride w:ilvl="0">
      <w:startOverride w:val="1"/>
    </w:lvlOverride>
  </w:num>
  <w:num w:numId="4">
    <w:abstractNumId w:val="1"/>
  </w:num>
  <w:num w:numId="5">
    <w:abstractNumId w:val="27"/>
  </w:num>
  <w:num w:numId="6">
    <w:abstractNumId w:val="20"/>
  </w:num>
  <w:num w:numId="7">
    <w:abstractNumId w:val="26"/>
  </w:num>
  <w:num w:numId="8">
    <w:abstractNumId w:val="11"/>
  </w:num>
  <w:num w:numId="9">
    <w:abstractNumId w:val="8"/>
  </w:num>
  <w:num w:numId="10">
    <w:abstractNumId w:val="12"/>
  </w:num>
  <w:num w:numId="11">
    <w:abstractNumId w:val="0"/>
  </w:num>
  <w:num w:numId="12">
    <w:abstractNumId w:val="22"/>
  </w:num>
  <w:num w:numId="13">
    <w:abstractNumId w:val="18"/>
  </w:num>
  <w:num w:numId="14">
    <w:abstractNumId w:val="2"/>
  </w:num>
  <w:num w:numId="15">
    <w:abstractNumId w:val="10"/>
  </w:num>
  <w:num w:numId="16">
    <w:abstractNumId w:val="21"/>
  </w:num>
  <w:num w:numId="17">
    <w:abstractNumId w:val="28"/>
  </w:num>
  <w:num w:numId="18">
    <w:abstractNumId w:val="3"/>
  </w:num>
  <w:num w:numId="19">
    <w:abstractNumId w:val="23"/>
  </w:num>
  <w:num w:numId="20">
    <w:abstractNumId w:val="7"/>
  </w:num>
  <w:num w:numId="21">
    <w:abstractNumId w:val="17"/>
  </w:num>
  <w:num w:numId="22">
    <w:abstractNumId w:val="9"/>
  </w:num>
  <w:num w:numId="23">
    <w:abstractNumId w:val="4"/>
  </w:num>
  <w:num w:numId="24">
    <w:abstractNumId w:val="19"/>
  </w:num>
  <w:num w:numId="25">
    <w:abstractNumId w:val="25"/>
  </w:num>
  <w:num w:numId="26">
    <w:abstractNumId w:val="16"/>
  </w:num>
  <w:num w:numId="27">
    <w:abstractNumId w:val="13"/>
  </w:num>
  <w:num w:numId="28">
    <w:abstractNumId w:val="1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1"/>
    <w:next w:val="7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2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2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2"/>
    <w:link w:val="746"/>
    <w:uiPriority w:val="99"/>
  </w:style>
  <w:style w:type="character" w:styleId="45">
    <w:name w:val="Footer Char"/>
    <w:basedOn w:val="732"/>
    <w:link w:val="748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2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2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pPr>
      <w:spacing w:after="200" w:line="276" w:lineRule="auto"/>
    </w:p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paragraph" w:styleId="73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736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737" w:customStyle="1">
    <w:name w:val="ConsPlusTitlePage"/>
    <w:uiPriority w:val="99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738">
    <w:name w:val="Balloon Text"/>
    <w:basedOn w:val="731"/>
    <w:link w:val="73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39" w:customStyle="1">
    <w:name w:val="Текст выноски Знак"/>
    <w:basedOn w:val="732"/>
    <w:link w:val="738"/>
    <w:uiPriority w:val="99"/>
    <w:semiHidden/>
    <w:rPr>
      <w:rFonts w:ascii="Tahoma" w:hAnsi="Tahoma" w:cs="Tahoma"/>
      <w:sz w:val="16"/>
      <w:szCs w:val="16"/>
    </w:rPr>
  </w:style>
  <w:style w:type="paragraph" w:styleId="740">
    <w:name w:val="List Paragraph"/>
    <w:basedOn w:val="731"/>
    <w:uiPriority w:val="34"/>
    <w:qFormat/>
    <w:pPr>
      <w:contextualSpacing/>
      <w:ind w:left="720"/>
    </w:pPr>
  </w:style>
  <w:style w:type="character" w:styleId="741">
    <w:name w:val="annotation reference"/>
    <w:basedOn w:val="732"/>
    <w:uiPriority w:val="99"/>
    <w:semiHidden/>
    <w:unhideWhenUsed/>
    <w:rPr>
      <w:sz w:val="16"/>
      <w:szCs w:val="16"/>
    </w:rPr>
  </w:style>
  <w:style w:type="paragraph" w:styleId="742">
    <w:name w:val="annotation text"/>
    <w:basedOn w:val="731"/>
    <w:link w:val="743"/>
    <w:uiPriority w:val="99"/>
    <w:unhideWhenUsed/>
    <w:pPr>
      <w:spacing w:line="240" w:lineRule="auto"/>
    </w:pPr>
    <w:rPr>
      <w:sz w:val="20"/>
      <w:szCs w:val="20"/>
    </w:rPr>
  </w:style>
  <w:style w:type="character" w:styleId="743" w:customStyle="1">
    <w:name w:val="Текст примечания Знак"/>
    <w:basedOn w:val="732"/>
    <w:link w:val="742"/>
    <w:uiPriority w:val="99"/>
    <w:rPr>
      <w:sz w:val="20"/>
      <w:szCs w:val="20"/>
    </w:rPr>
  </w:style>
  <w:style w:type="paragraph" w:styleId="744">
    <w:name w:val="annotation subject"/>
    <w:basedOn w:val="742"/>
    <w:next w:val="742"/>
    <w:link w:val="745"/>
    <w:uiPriority w:val="99"/>
    <w:semiHidden/>
    <w:unhideWhenUsed/>
    <w:rPr>
      <w:b/>
      <w:bCs/>
    </w:rPr>
  </w:style>
  <w:style w:type="character" w:styleId="745" w:customStyle="1">
    <w:name w:val="Тема примечания Знак"/>
    <w:basedOn w:val="743"/>
    <w:link w:val="744"/>
    <w:uiPriority w:val="99"/>
    <w:semiHidden/>
    <w:rPr>
      <w:b/>
      <w:bCs/>
      <w:sz w:val="20"/>
      <w:szCs w:val="20"/>
    </w:rPr>
  </w:style>
  <w:style w:type="paragraph" w:styleId="746">
    <w:name w:val="Header"/>
    <w:basedOn w:val="731"/>
    <w:link w:val="7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7" w:customStyle="1">
    <w:name w:val="Верхний колонтитул Знак"/>
    <w:basedOn w:val="732"/>
    <w:link w:val="746"/>
    <w:uiPriority w:val="99"/>
  </w:style>
  <w:style w:type="paragraph" w:styleId="748">
    <w:name w:val="Footer"/>
    <w:basedOn w:val="731"/>
    <w:link w:val="7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9" w:customStyle="1">
    <w:name w:val="Нижний колонтитул Знак"/>
    <w:basedOn w:val="732"/>
    <w:link w:val="748"/>
    <w:uiPriority w:val="99"/>
  </w:style>
  <w:style w:type="paragraph" w:styleId="750">
    <w:name w:val="Normal (Web)"/>
    <w:basedOn w:val="73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51">
    <w:name w:val="Hyperlink"/>
    <w:basedOn w:val="732"/>
    <w:uiPriority w:val="99"/>
    <w:unhideWhenUsed/>
    <w:rPr>
      <w:color w:val="0000ff"/>
      <w:u w:val="single"/>
    </w:rPr>
  </w:style>
  <w:style w:type="character" w:styleId="752" w:customStyle="1">
    <w:name w:val="Font Style14"/>
    <w:basedOn w:val="732"/>
    <w:uiPriority w:val="99"/>
    <w:rPr>
      <w:rFonts w:ascii="Times New Roman" w:hAnsi="Times New Roman" w:cs="Times New Roman"/>
      <w:sz w:val="26"/>
      <w:szCs w:val="26"/>
    </w:rPr>
  </w:style>
  <w:style w:type="character" w:styleId="753" w:customStyle="1">
    <w:name w:val="Font Style15"/>
    <w:basedOn w:val="732"/>
    <w:uiPriority w:val="99"/>
    <w:rPr>
      <w:rFonts w:ascii="Times New Roman" w:hAnsi="Times New Roman" w:cs="Times New Roman"/>
      <w:sz w:val="26"/>
      <w:szCs w:val="26"/>
    </w:rPr>
  </w:style>
  <w:style w:type="table" w:styleId="754">
    <w:name w:val="Table Grid"/>
    <w:basedOn w:val="7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55">
    <w:name w:val="FollowedHyperlink"/>
    <w:basedOn w:val="732"/>
    <w:uiPriority w:val="99"/>
    <w:semiHidden/>
    <w:unhideWhenUsed/>
    <w:rPr>
      <w:color w:val="954f72" w:themeColor="followedHyperlink"/>
      <w:u w:val="single"/>
    </w:rPr>
  </w:style>
  <w:style w:type="paragraph" w:styleId="756">
    <w:name w:val="Revision"/>
    <w:hidden/>
    <w:uiPriority w:val="99"/>
    <w:semiHidden/>
    <w:pPr>
      <w:spacing w:after="0" w:line="240" w:lineRule="auto"/>
    </w:pPr>
  </w:style>
  <w:style w:type="paragraph" w:styleId="757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58" w:customStyle="1">
    <w:name w:val="ConsPlusCell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59" w:customStyle="1">
    <w:name w:val="ConsPlusDocList"/>
    <w:uiPriority w:val="99"/>
    <w:pPr>
      <w:spacing w:after="0" w:line="240" w:lineRule="auto"/>
      <w:widowControl w:val="off"/>
    </w:pPr>
    <w:rPr>
      <w:rFonts w:ascii="Tahoma" w:hAnsi="Tahoma" w:eastAsia="Times New Roman" w:cs="Tahoma"/>
      <w:sz w:val="18"/>
      <w:szCs w:val="18"/>
      <w:lang w:eastAsia="ru-RU"/>
    </w:rPr>
  </w:style>
  <w:style w:type="paragraph" w:styleId="760" w:customStyle="1">
    <w:name w:val="ConsPlusJurTerm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1" w:customStyle="1">
    <w:name w:val="ConsPlusTextList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2" w:customStyle="1">
    <w:name w:val="ConsPlusTextList1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63" w:customStyle="1">
    <w:name w:val="Неразрешенное упоминание1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764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FA56-E65C-4D0F-BAC7-AFD12132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statistik</dc:creator>
  <cp:keywords/>
  <dc:description/>
  <cp:lastModifiedBy>Сергей Горбачёв</cp:lastModifiedBy>
  <cp:revision>3</cp:revision>
  <dcterms:created xsi:type="dcterms:W3CDTF">2025-10-24T05:24:00Z</dcterms:created>
  <dcterms:modified xsi:type="dcterms:W3CDTF">2025-11-28T06:08:43Z</dcterms:modified>
</cp:coreProperties>
</file>