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63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954"/>
        <w:gridCol w:w="3125"/>
        <w:gridCol w:w="3560"/>
      </w:tblGrid>
      <w:tr>
        <w:tblPrEx/>
        <w:trPr>
          <w:cantSplit/>
          <w:trHeight w:val="1133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39" w:type="dxa"/>
            <w:textDirection w:val="lrTb"/>
            <w:noWrap w:val="false"/>
          </w:tcPr>
          <w:p>
            <w:pPr>
              <w:ind w:right="125"/>
              <w:jc w:val="center"/>
              <w:spacing w:after="0" w:line="360" w:lineRule="atLeast"/>
              <w:rPr>
                <w:rFonts w:ascii="Times New Roman" w:hAnsi="Times New Roman" w:eastAsia="Times New Roman" w:cs="Times New Roman"/>
                <w:b/>
                <w:spacing w:val="5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18457" cy="746760"/>
                      <wp:effectExtent l="0" t="0" r="0" b="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1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19447" cy="74795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8.70pt;height:58.80pt;mso-wrap-distance-left:0.00pt;mso-wrap-distance-top:0.00pt;mso-wrap-distance-right:0.00pt;mso-wrap-distance-bottom:0.00pt;" stroked="f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rFonts w:ascii="Times New Roman" w:hAnsi="Times New Roman" w:eastAsia="Times New Roman" w:cs="Times New Roman"/>
                <w:b/>
                <w:spacing w:val="50"/>
                <w:sz w:val="28"/>
                <w:szCs w:val="28"/>
                <w:lang w:eastAsia="ru-RU"/>
              </w:rPr>
            </w:r>
          </w:p>
        </w:tc>
      </w:tr>
      <w:tr>
        <w:tblPrEx/>
        <w:trPr>
          <w:cantSplit/>
          <w:trHeight w:val="1134"/>
        </w:trPr>
        <w:tc>
          <w:tcPr>
            <w:gridSpan w:val="3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39" w:type="dxa"/>
            <w:textDirection w:val="lrTb"/>
            <w:noWrap w:val="false"/>
          </w:tcPr>
          <w:p>
            <w:pPr>
              <w:ind w:right="125"/>
              <w:jc w:val="center"/>
              <w:keepNext/>
              <w:spacing w:after="0" w:line="360" w:lineRule="atLeast"/>
              <w:rPr>
                <w:rFonts w:ascii="Times New Roman" w:hAnsi="Times New Roman" w:eastAsia="Times New Roman" w:cs="Times New Roman"/>
                <w:b/>
                <w:spacing w:val="50"/>
                <w:sz w:val="28"/>
                <w:szCs w:val="28"/>
                <w:lang w:eastAsia="ru-RU"/>
              </w:rPr>
              <w:outlineLvl w:val="2"/>
            </w:pPr>
            <w:r>
              <w:rPr>
                <w:rFonts w:ascii="Times New Roman" w:hAnsi="Times New Roman" w:eastAsia="Times New Roman" w:cs="Times New Roman"/>
                <w:b/>
                <w:spacing w:val="50"/>
                <w:sz w:val="28"/>
                <w:szCs w:val="28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eastAsia="Times New Roman" w:cs="Times New Roman"/>
                <w:b/>
                <w:spacing w:val="50"/>
                <w:sz w:val="28"/>
                <w:szCs w:val="28"/>
                <w:lang w:eastAsia="ru-RU"/>
              </w:rPr>
            </w:r>
          </w:p>
          <w:p>
            <w:pPr>
              <w:ind w:left="176" w:right="125"/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outlineLvl w:val="1"/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АДМИНИСТРАЦИИ ДОБРИНСКОГО МУНИЦИПАЛЬНОГО РАЙОНА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  <w:p>
            <w:pPr>
              <w:ind w:right="125"/>
              <w:jc w:val="center"/>
              <w:keepNext/>
              <w:spacing w:before="120" w:after="0" w:line="280" w:lineRule="atLeast"/>
              <w:rPr>
                <w:rFonts w:ascii="Times New Roman" w:hAnsi="Times New Roman" w:eastAsia="Times New Roman" w:cs="Times New Roman"/>
                <w:b/>
                <w:spacing w:val="8"/>
                <w:sz w:val="28"/>
                <w:szCs w:val="28"/>
                <w:lang w:eastAsia="ru-RU"/>
              </w:rPr>
              <w:outlineLvl w:val="0"/>
            </w:pPr>
            <w:r>
              <w:rPr>
                <w:rFonts w:ascii="Times New Roman" w:hAnsi="Times New Roman" w:eastAsia="Times New Roman" w:cs="Times New Roman"/>
                <w:b/>
                <w:bCs/>
                <w:spacing w:val="8"/>
                <w:sz w:val="28"/>
                <w:szCs w:val="28"/>
                <w:lang w:eastAsia="ru-RU"/>
              </w:rPr>
              <w:t xml:space="preserve">Липецкой области</w:t>
            </w:r>
            <w:r>
              <w:rPr>
                <w:rFonts w:ascii="Times New Roman" w:hAnsi="Times New Roman" w:eastAsia="Times New Roman" w:cs="Times New Roman"/>
                <w:b/>
                <w:spacing w:val="8"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501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954" w:type="dxa"/>
            <w:textDirection w:val="lrTb"/>
            <w:noWrap w:val="false"/>
          </w:tcPr>
          <w:p>
            <w:pPr>
              <w:ind w:right="125"/>
              <w:spacing w:before="120" w:after="0" w:line="280" w:lineRule="atLeast"/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  <w:u w:val="single"/>
                <w:lang w:eastAsia="ru-RU"/>
              </w:rPr>
              <w:t xml:space="preserve">20. 10.</w:t>
            </w: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  <w:u w:val="single"/>
                <w:lang w:eastAsia="ru-RU"/>
              </w:rPr>
              <w:t xml:space="preserve"> 2025</w:t>
            </w: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  <w:u w:val="single"/>
                <w:lang w:eastAsia="ru-RU"/>
              </w:rPr>
              <w:t xml:space="preserve"> г.</w:t>
            </w:r>
            <w:r>
              <w:rPr>
                <w:rFonts w:ascii="Times New Roman" w:hAnsi="Times New Roman" w:eastAsia="Times New Roman" w:cs="Times New Roman"/>
                <w:spacing w:val="-10"/>
                <w:sz w:val="28"/>
                <w:szCs w:val="28"/>
                <w:u w:val="single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125" w:type="dxa"/>
            <w:textDirection w:val="lrTb"/>
            <w:noWrap w:val="false"/>
          </w:tcPr>
          <w:p>
            <w:pPr>
              <w:ind w:right="125" w:firstLine="28"/>
              <w:jc w:val="center"/>
              <w:spacing w:before="120" w:after="0" w:line="280" w:lineRule="atLeast"/>
              <w:rPr>
                <w:rFonts w:ascii="Times New Roman" w:hAnsi="Times New Roman" w:eastAsia="Times New Roman" w:cs="Times New Roman"/>
                <w:b/>
                <w:spacing w:val="8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        </w:t>
            </w:r>
            <w:r>
              <w:rPr>
                <w:rFonts w:ascii="Times New Roman" w:hAnsi="Times New Roman" w:eastAsia="Times New Roman" w:cs="Times New Roman"/>
                <w:sz w:val="26"/>
                <w:szCs w:val="26"/>
                <w:lang w:eastAsia="ru-RU"/>
              </w:rPr>
              <w:t xml:space="preserve">п. Добринка</w:t>
            </w:r>
            <w:r>
              <w:rPr>
                <w:rFonts w:ascii="Times New Roman" w:hAnsi="Times New Roman" w:eastAsia="Times New Roman" w:cs="Times New Roman"/>
                <w:b/>
                <w:spacing w:val="8"/>
                <w:sz w:val="26"/>
                <w:szCs w:val="2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560" w:type="dxa"/>
            <w:textDirection w:val="lrTb"/>
            <w:noWrap w:val="false"/>
          </w:tcPr>
          <w:p>
            <w:pPr>
              <w:ind w:right="125" w:firstLine="21"/>
              <w:jc w:val="center"/>
              <w:spacing w:before="120" w:after="0" w:line="240" w:lineRule="atLeast"/>
              <w:tabs>
                <w:tab w:val="left" w:pos="2752" w:leader="none"/>
              </w:tabs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  <w:t xml:space="preserve">                    № 1010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поощрения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должностных лиц управленческой команды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на </w:t>
      </w:r>
      <w:r>
        <w:rPr>
          <w:rFonts w:ascii="Times New Roman" w:hAnsi="Times New Roman" w:cs="Times New Roman"/>
          <w:sz w:val="28"/>
          <w:szCs w:val="28"/>
        </w:rPr>
        <w:t xml:space="preserve">2025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 xml:space="preserve">од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Липецкой области от </w:t>
      </w:r>
      <w:r>
        <w:rPr>
          <w:rFonts w:ascii="Times New Roman" w:hAnsi="Times New Roman" w:cs="Times New Roman"/>
          <w:sz w:val="28"/>
          <w:szCs w:val="28"/>
        </w:rPr>
        <w:t xml:space="preserve">29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08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433</w:t>
      </w:r>
      <w:r>
        <w:rPr>
          <w:rFonts w:ascii="Times New Roman" w:hAnsi="Times New Roman" w:cs="Times New Roman"/>
          <w:sz w:val="28"/>
          <w:szCs w:val="28"/>
        </w:rPr>
        <w:t xml:space="preserve"> "</w:t>
      </w:r>
      <w:r>
        <w:rPr>
          <w:rFonts w:ascii="Times New Roman" w:hAnsi="Times New Roman" w:cs="Times New Roman"/>
          <w:sz w:val="28"/>
          <w:szCs w:val="28"/>
        </w:rPr>
        <w:t xml:space="preserve">Об утверждении методики распределения иных межбюджетных трансфертов из областного бюджета и правил их предоставления на поощрени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управленческих команд на </w:t>
      </w:r>
      <w:r>
        <w:rPr>
          <w:rFonts w:ascii="Times New Roman" w:hAnsi="Times New Roman" w:cs="Times New Roman"/>
          <w:sz w:val="28"/>
          <w:szCs w:val="28"/>
        </w:rPr>
        <w:t xml:space="preserve">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"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администрация муниципального района постановляет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Порядок поощрения должностных лиц управленческой команды </w:t>
      </w:r>
      <w:r>
        <w:rPr>
          <w:rFonts w:ascii="Times New Roman" w:hAnsi="Times New Roman" w:cs="Times New Roman"/>
          <w:sz w:val="28"/>
          <w:szCs w:val="28"/>
        </w:rPr>
        <w:t xml:space="preserve">Добринского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на </w:t>
      </w:r>
      <w:r>
        <w:rPr>
          <w:rFonts w:ascii="Times New Roman" w:hAnsi="Times New Roman" w:cs="Times New Roman"/>
          <w:sz w:val="28"/>
          <w:szCs w:val="28"/>
        </w:rPr>
        <w:t xml:space="preserve">2025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 xml:space="preserve">од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Глава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Добринского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района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А.Н.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Пасынков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6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к постановлению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Добринского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района № </w:t>
      </w:r>
      <w:r>
        <w:rPr>
          <w:rFonts w:ascii="Times New Roman" w:hAnsi="Times New Roman" w:cs="Times New Roman"/>
          <w:sz w:val="28"/>
          <w:szCs w:val="28"/>
        </w:rPr>
        <w:t xml:space="preserve">1010</w:t>
      </w:r>
      <w:r>
        <w:rPr>
          <w:rFonts w:ascii="Times New Roman" w:hAnsi="Times New Roman" w:cs="Times New Roman"/>
          <w:sz w:val="28"/>
          <w:szCs w:val="28"/>
        </w:rPr>
        <w:t xml:space="preserve">____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 xml:space="preserve">20.10.</w:t>
      </w:r>
      <w:r>
        <w:rPr>
          <w:rFonts w:ascii="Times New Roman" w:hAnsi="Times New Roman" w:cs="Times New Roman"/>
          <w:sz w:val="28"/>
          <w:szCs w:val="28"/>
        </w:rPr>
        <w:t xml:space="preserve">2025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г.</w:t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Порядок поощрения должностных лиц 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управленческой команды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Добринского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2025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од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ab/>
        <w:t xml:space="preserve">Настоящий </w:t>
      </w:r>
      <w:r>
        <w:rPr>
          <w:rFonts w:ascii="Times New Roman" w:hAnsi="Times New Roman" w:cs="Times New Roman"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определяет подходы к распределению иных межбюджетных трансфертов бюджету муниципального района на поощрение муниципальной управленческой команды в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2025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 году за достижение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значений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показателей</w:t>
      </w:r>
      <w:r>
        <w:rPr>
          <w:rFonts w:ascii="Times New Roman" w:hAnsi="Times New Roman" w:cs="Times New Roman"/>
          <w:sz w:val="28"/>
          <w:szCs w:val="28"/>
        </w:rPr>
        <w:t xml:space="preserve"> за 202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 год, способствующих достижению значений показателей, утвержденных </w:t>
      </w:r>
      <w:hyperlink r:id="rId10" w:tooltip="https://login.consultant.ru/link/?req=doc&amp;base=LAW&amp;n=426376" w:history="1">
        <w:r>
          <w:rPr>
            <w:rFonts w:ascii="Times New Roman" w:hAnsi="Times New Roman" w:cs="Times New Roman"/>
            <w:sz w:val="28"/>
            <w:szCs w:val="28"/>
          </w:rPr>
          <w:t xml:space="preserve">Указом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 xml:space="preserve">28 ноября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 года N </w:t>
      </w:r>
      <w:r>
        <w:rPr>
          <w:rFonts w:ascii="Times New Roman" w:hAnsi="Times New Roman" w:cs="Times New Roman"/>
          <w:sz w:val="28"/>
          <w:szCs w:val="28"/>
        </w:rPr>
        <w:t xml:space="preserve">1014</w:t>
      </w:r>
      <w:r>
        <w:rPr>
          <w:rFonts w:ascii="Times New Roman" w:hAnsi="Times New Roman" w:cs="Times New Roman"/>
          <w:sz w:val="28"/>
          <w:szCs w:val="28"/>
        </w:rPr>
        <w:t xml:space="preserve"> "Об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Федерации".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м</w:t>
      </w:r>
      <w:r>
        <w:rPr>
          <w:rFonts w:ascii="Times New Roman" w:hAnsi="Times New Roman" w:cs="Times New Roman"/>
          <w:sz w:val="28"/>
          <w:szCs w:val="28"/>
        </w:rPr>
        <w:t xml:space="preserve"> Правительства Липецкой обл</w:t>
      </w:r>
      <w:r>
        <w:rPr>
          <w:rFonts w:ascii="Times New Roman" w:hAnsi="Times New Roman" w:cs="Times New Roman"/>
          <w:sz w:val="28"/>
          <w:szCs w:val="28"/>
        </w:rPr>
        <w:t xml:space="preserve">асти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 xml:space="preserve">29.08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 xml:space="preserve">№</w:t>
      </w:r>
      <w:r>
        <w:rPr>
          <w:rFonts w:ascii="Times New Roman" w:hAnsi="Times New Roman" w:cs="Times New Roman"/>
          <w:sz w:val="28"/>
          <w:szCs w:val="28"/>
        </w:rPr>
        <w:t xml:space="preserve">433</w:t>
      </w:r>
      <w:r>
        <w:rPr>
          <w:rFonts w:ascii="Times New Roman" w:hAnsi="Times New Roman" w:cs="Times New Roman"/>
          <w:sz w:val="28"/>
          <w:szCs w:val="28"/>
        </w:rPr>
        <w:t xml:space="preserve"> "Об утверждении методики распределения иных межбюджетных трансфертов из областного бюджета и правил их предоставления на поощрени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управленческих команд на </w:t>
      </w:r>
      <w:r>
        <w:rPr>
          <w:rFonts w:ascii="Times New Roman" w:hAnsi="Times New Roman" w:cs="Times New Roman"/>
          <w:sz w:val="28"/>
          <w:szCs w:val="28"/>
        </w:rPr>
        <w:t xml:space="preserve">2025</w:t>
      </w:r>
      <w:r>
        <w:rPr>
          <w:rFonts w:ascii="Times New Roman" w:hAnsi="Times New Roman" w:cs="Times New Roman"/>
          <w:sz w:val="28"/>
          <w:szCs w:val="28"/>
        </w:rPr>
        <w:t xml:space="preserve"> год"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состав муниципальной команды </w:t>
      </w:r>
      <w:r>
        <w:rPr>
          <w:rFonts w:ascii="Times New Roman" w:hAnsi="Times New Roman" w:cs="Times New Roman"/>
          <w:sz w:val="28"/>
          <w:szCs w:val="28"/>
        </w:rPr>
        <w:t xml:space="preserve">Добринского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входят глава администрации и муниципальные служащие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Добринского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осуществляющие собственные полномочия по решению вопросов местного значения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В Порядке под материальным стимулированием понимается осуществление премиальных выплат муниципальным служащим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деятельность которых способствовала реализации национальных проектов и достижению показателей 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экономического, социального и </w:t>
      </w:r>
      <w:r>
        <w:rPr>
          <w:rFonts w:ascii="Times New Roman" w:hAnsi="Times New Roman" w:cs="Times New Roman"/>
          <w:sz w:val="28"/>
          <w:szCs w:val="28"/>
        </w:rPr>
        <w:t xml:space="preserve">внутриполитического</w:t>
      </w:r>
      <w:r>
        <w:rPr>
          <w:rFonts w:ascii="Times New Roman" w:hAnsi="Times New Roman" w:cs="Times New Roman"/>
          <w:sz w:val="28"/>
          <w:szCs w:val="28"/>
        </w:rPr>
        <w:t xml:space="preserve"> блоков</w:t>
      </w:r>
      <w:r>
        <w:rPr>
          <w:rFonts w:ascii="Times New Roman" w:hAnsi="Times New Roman" w:cs="Times New Roman"/>
          <w:color w:val="333333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Размеры определяются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 с учетом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степени вклада и участия муниципальных служащих в достижении значений показателей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, 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исходя из объемов бюджетных средств, поступивших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Липецкой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 xml:space="preserve">12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09</w:t>
      </w:r>
      <w:r>
        <w:rPr>
          <w:rFonts w:ascii="Times New Roman" w:hAnsi="Times New Roman" w:cs="Times New Roman"/>
          <w:sz w:val="28"/>
          <w:szCs w:val="28"/>
        </w:rPr>
        <w:t xml:space="preserve">.202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года N </w:t>
      </w:r>
      <w:r>
        <w:rPr>
          <w:rFonts w:ascii="Times New Roman" w:hAnsi="Times New Roman" w:cs="Times New Roman"/>
          <w:sz w:val="28"/>
          <w:szCs w:val="28"/>
        </w:rPr>
        <w:t xml:space="preserve">452</w:t>
      </w:r>
      <w:r>
        <w:rPr>
          <w:rFonts w:ascii="Times New Roman" w:hAnsi="Times New Roman" w:cs="Times New Roman"/>
          <w:sz w:val="28"/>
          <w:szCs w:val="28"/>
        </w:rPr>
        <w:t xml:space="preserve"> "Об утверждении распределения иных межбюджетных трансфертов </w:t>
      </w:r>
      <w:r>
        <w:rPr>
          <w:rFonts w:ascii="Times New Roman" w:hAnsi="Times New Roman" w:cs="Times New Roman"/>
          <w:sz w:val="28"/>
          <w:szCs w:val="28"/>
        </w:rPr>
        <w:t xml:space="preserve">на</w:t>
      </w:r>
      <w:r>
        <w:rPr>
          <w:rFonts w:ascii="Times New Roman" w:hAnsi="Times New Roman" w:cs="Times New Roman"/>
          <w:sz w:val="28"/>
          <w:szCs w:val="28"/>
        </w:rPr>
        <w:t xml:space="preserve"> поощрени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управленческих команд на </w:t>
      </w:r>
      <w:r>
        <w:rPr>
          <w:rFonts w:ascii="Times New Roman" w:hAnsi="Times New Roman" w:cs="Times New Roman"/>
          <w:sz w:val="28"/>
          <w:szCs w:val="28"/>
        </w:rPr>
        <w:t xml:space="preserve">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год"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из областного бюджета </w:t>
      </w:r>
      <w:r>
        <w:rPr>
          <w:rFonts w:ascii="Times New Roman" w:hAnsi="Times New Roman" w:cs="Times New Roman"/>
          <w:sz w:val="28"/>
          <w:szCs w:val="28"/>
        </w:rPr>
        <w:t xml:space="preserve">с учетом распоряжения </w:t>
      </w:r>
      <w:r>
        <w:rPr>
          <w:rFonts w:ascii="Times New Roman" w:hAnsi="Times New Roman" w:cs="Times New Roman"/>
          <w:sz w:val="28"/>
          <w:szCs w:val="28"/>
        </w:rPr>
        <w:t xml:space="preserve">Губернатора</w:t>
      </w:r>
      <w:r>
        <w:rPr>
          <w:rFonts w:ascii="Times New Roman" w:hAnsi="Times New Roman" w:cs="Times New Roman"/>
          <w:sz w:val="28"/>
          <w:szCs w:val="28"/>
        </w:rPr>
        <w:t xml:space="preserve"> Липецкой области от </w:t>
      </w:r>
      <w:r>
        <w:rPr>
          <w:rFonts w:ascii="Times New Roman" w:hAnsi="Times New Roman" w:cs="Times New Roman"/>
          <w:sz w:val="28"/>
          <w:szCs w:val="28"/>
        </w:rPr>
        <w:t xml:space="preserve">06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10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202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502</w:t>
      </w:r>
      <w:r>
        <w:rPr>
          <w:rFonts w:ascii="Times New Roman" w:hAnsi="Times New Roman" w:cs="Times New Roman"/>
          <w:sz w:val="28"/>
          <w:szCs w:val="28"/>
        </w:rPr>
        <w:t xml:space="preserve">-р «Об </w:t>
      </w:r>
      <w:r>
        <w:rPr>
          <w:rFonts w:ascii="Times New Roman" w:hAnsi="Times New Roman" w:cs="Times New Roman"/>
          <w:sz w:val="28"/>
          <w:szCs w:val="28"/>
        </w:rPr>
        <w:t xml:space="preserve">определе</w:t>
      </w:r>
      <w:r>
        <w:rPr>
          <w:rFonts w:ascii="Times New Roman" w:hAnsi="Times New Roman" w:cs="Times New Roman"/>
          <w:sz w:val="28"/>
          <w:szCs w:val="28"/>
        </w:rPr>
        <w:t xml:space="preserve">нии</w:t>
      </w:r>
      <w:r>
        <w:rPr>
          <w:rFonts w:ascii="Times New Roman" w:hAnsi="Times New Roman" w:cs="Times New Roman"/>
          <w:sz w:val="28"/>
          <w:szCs w:val="28"/>
        </w:rPr>
        <w:t xml:space="preserve"> размер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r>
        <w:rPr>
          <w:rFonts w:ascii="Times New Roman" w:hAnsi="Times New Roman" w:cs="Times New Roman"/>
          <w:sz w:val="28"/>
          <w:szCs w:val="28"/>
        </w:rPr>
        <w:t xml:space="preserve">поощрения глав</w:t>
      </w:r>
      <w:r>
        <w:rPr>
          <w:rFonts w:ascii="Times New Roman" w:hAnsi="Times New Roman" w:cs="Times New Roman"/>
          <w:sz w:val="28"/>
          <w:szCs w:val="28"/>
        </w:rPr>
        <w:t xml:space="preserve">ы городского округа, муниципального округа,</w:t>
      </w:r>
      <w:r>
        <w:rPr>
          <w:rFonts w:ascii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sz w:val="28"/>
          <w:szCs w:val="28"/>
        </w:rPr>
        <w:t xml:space="preserve">ого</w:t>
      </w:r>
      <w:r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из средств ин</w:t>
      </w:r>
      <w:r>
        <w:rPr>
          <w:rFonts w:ascii="Times New Roman" w:hAnsi="Times New Roman" w:cs="Times New Roman"/>
          <w:sz w:val="28"/>
          <w:szCs w:val="28"/>
        </w:rPr>
        <w:t xml:space="preserve">ого</w:t>
      </w:r>
      <w:r>
        <w:rPr>
          <w:rFonts w:ascii="Times New Roman" w:hAnsi="Times New Roman" w:cs="Times New Roman"/>
          <w:sz w:val="28"/>
          <w:szCs w:val="28"/>
        </w:rPr>
        <w:t xml:space="preserve"> межбюджетн</w:t>
      </w:r>
      <w:r>
        <w:rPr>
          <w:rFonts w:ascii="Times New Roman" w:hAnsi="Times New Roman" w:cs="Times New Roman"/>
          <w:sz w:val="28"/>
          <w:szCs w:val="28"/>
        </w:rPr>
        <w:t xml:space="preserve">ого</w:t>
      </w:r>
      <w:r>
        <w:rPr>
          <w:rFonts w:ascii="Times New Roman" w:hAnsi="Times New Roman" w:cs="Times New Roman"/>
          <w:sz w:val="28"/>
          <w:szCs w:val="28"/>
        </w:rPr>
        <w:t xml:space="preserve"> трансферт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поощрени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муниципальных управленческих команд на </w:t>
      </w:r>
      <w:r>
        <w:rPr>
          <w:rFonts w:ascii="Times New Roman" w:hAnsi="Times New Roman" w:cs="Times New Roman"/>
          <w:sz w:val="28"/>
          <w:szCs w:val="28"/>
        </w:rPr>
        <w:t xml:space="preserve">2025</w:t>
      </w:r>
      <w:r>
        <w:rPr>
          <w:rFonts w:ascii="Times New Roman" w:hAnsi="Times New Roman" w:cs="Times New Roman"/>
          <w:sz w:val="28"/>
          <w:szCs w:val="28"/>
        </w:rPr>
        <w:t xml:space="preserve"> год».</w:t>
      </w:r>
      <w:r>
        <w:rPr>
          <w:rFonts w:ascii="Arial" w:hAnsi="Arial" w:cs="Arial"/>
          <w:sz w:val="20"/>
          <w:szCs w:val="20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hAnsi="Times New Roman" w:cs="Times New Roman"/>
          <w:sz w:val="28"/>
          <w:szCs w:val="28"/>
        </w:rPr>
        <w:t xml:space="preserve">Объем и сумма средств, направляемых на поощрение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служащих администрации муниципального района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определяются по формуле: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ПМС =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РМБТ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 –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Рп</w:t>
      </w:r>
      <w:r>
        <w:rPr>
          <w:rFonts w:ascii="Times New Roman" w:hAnsi="Times New Roman" w:eastAsia="Times New Roman" w:cs="Times New Roman"/>
          <w:i/>
          <w:color w:val="333333"/>
          <w:sz w:val="28"/>
          <w:szCs w:val="28"/>
          <w:lang w:eastAsia="ru-RU"/>
        </w:rPr>
        <w:t xml:space="preserve">гл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r>
    </w:p>
    <w:p>
      <w:pPr>
        <w:ind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где: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r>
    </w:p>
    <w:p>
      <w:pPr>
        <w:ind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ПМС – объем средств на поощрение муниципальных служащих;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r>
    </w:p>
    <w:p>
      <w:pPr>
        <w:ind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Рп</w:t>
      </w:r>
      <w:r>
        <w:rPr>
          <w:rFonts w:ascii="Times New Roman" w:hAnsi="Times New Roman" w:eastAsia="Times New Roman" w:cs="Times New Roman"/>
          <w:i/>
          <w:color w:val="333333"/>
          <w:sz w:val="28"/>
          <w:szCs w:val="28"/>
          <w:lang w:eastAsia="ru-RU"/>
        </w:rPr>
        <w:t xml:space="preserve">гл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 = 0,1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×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РМБТ  -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 размер поощрения главы муниципального района;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r>
    </w:p>
    <w:p>
      <w:pPr>
        <w:ind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РМБТ – размер иного межбюджетного трансферта из областного бюджета бюджету муниципального района </w:t>
      </w:r>
      <w:r>
        <w:rPr>
          <w:rFonts w:ascii="Times New Roman" w:hAnsi="Times New Roman" w:cs="Times New Roman"/>
          <w:sz w:val="28"/>
          <w:szCs w:val="28"/>
        </w:rPr>
        <w:t xml:space="preserve">на поощрение муниципальных управленческих команд на </w:t>
      </w:r>
      <w:r>
        <w:rPr>
          <w:rFonts w:ascii="Times New Roman" w:hAnsi="Times New Roman" w:cs="Times New Roman"/>
          <w:sz w:val="28"/>
          <w:szCs w:val="28"/>
        </w:rPr>
        <w:t xml:space="preserve">2025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</w:r>
    </w:p>
    <w:p>
      <w:pPr>
        <w:ind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333333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2.2. Определяется корректирующий коэффициент в зависимости от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степени вклада и участия в достижении значений показателей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(К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vertAlign w:val="subscript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) с учетом следующих размеров указанных коэффициентов:</w:t>
      </w:r>
      <w:r>
        <w:rPr>
          <w:rFonts w:ascii="Times New Roman" w:hAnsi="Times New Roman" w:eastAsia="Times New Roman" w:cs="Times New Roman"/>
          <w:color w:val="333333"/>
          <w:sz w:val="18"/>
          <w:szCs w:val="1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  <w:lang w:eastAsia="ru-RU"/>
        </w:rPr>
        <w:t xml:space="preserve">д1 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– 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,5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  <w:lang w:eastAsia="ru-RU"/>
        </w:rPr>
        <w:t xml:space="preserve">д0,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  <w:lang w:eastAsia="ru-RU"/>
        </w:rPr>
        <w:t xml:space="preserve">75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–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0,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8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  <w:lang w:eastAsia="ru-RU"/>
        </w:rPr>
        <w:t xml:space="preserve">д0,</w:t>
      </w:r>
      <w:r>
        <w:rPr>
          <w:rFonts w:ascii="Times New Roman" w:hAnsi="Times New Roman" w:eastAsia="Times New Roman" w:cs="Times New Roman"/>
          <w:sz w:val="28"/>
          <w:szCs w:val="28"/>
          <w:vertAlign w:val="subscript"/>
          <w:lang w:eastAsia="ru-RU"/>
        </w:rPr>
        <w:t xml:space="preserve">9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–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1,0;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333333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2.3.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Размер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премиальной выплаты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муниципального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служащего с учетом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корректирующ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его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 коэффициент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рассчитывается по формуле:</w:t>
      </w:r>
      <w:r>
        <w:rPr>
          <w:rFonts w:ascii="Times New Roman" w:hAnsi="Times New Roman" w:eastAsia="Times New Roman" w:cs="Times New Roman"/>
          <w:color w:val="333333"/>
          <w:sz w:val="18"/>
          <w:szCs w:val="18"/>
          <w:lang w:eastAsia="ru-RU"/>
        </w:rPr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04"/>
        <w:gridCol w:w="1666"/>
      </w:tblGrid>
      <w:tr>
        <w:tblPrEx/>
        <w:trPr>
          <w:trHeight w:val="337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904" w:type="dxa"/>
            <w:textDirection w:val="lrTb"/>
            <w:noWrap w:val="false"/>
          </w:tcPr>
          <w:p>
            <w:pPr>
              <w:ind w:firstLine="709"/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vertAlign w:val="subscript"/>
                <w:lang w:val="en-US" w:eastAsia="ru-RU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vertAlign w:val="subscript"/>
                <w:lang w:eastAsia="ru-RU"/>
              </w:rPr>
              <w:t xml:space="preserve">итог</w:t>
            </w: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val="en-US" w:eastAsia="ru-RU"/>
              </w:rPr>
              <w:t xml:space="preserve">=</w:t>
            </w: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  <w:t xml:space="preserve">Р</w:t>
            </w: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  <w:t xml:space="preserve">ДСМС</w:t>
            </w: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vertAlign w:val="subscript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vertAlign w:val="subscript"/>
                <w:lang w:val="en-US" w:eastAsia="ru-RU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val="en-US" w:eastAsia="ru-RU"/>
              </w:rPr>
              <w:t xml:space="preserve">×</w:t>
            </w: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eastAsia="ru-RU"/>
              </w:rPr>
              <w:t xml:space="preserve">К</w:t>
            </w: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vertAlign w:val="subscript"/>
                <w:lang w:eastAsia="ru-RU"/>
              </w:rPr>
              <w:t xml:space="preserve">д</w:t>
            </w: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vertAlign w:val="subscript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vertAlign w:val="subscript"/>
                <w:lang w:val="en-US" w:eastAsia="ru-RU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vertAlign w:val="subscript"/>
                <w:lang w:val="en-US"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val="en-US" w:eastAsia="ru-RU"/>
              </w:rPr>
              <w:t xml:space="preserve">,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en-US"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66" w:type="dxa"/>
            <w:textDirection w:val="lrTb"/>
            <w:noWrap w:val="false"/>
          </w:tcPr>
          <w:p>
            <w:pPr>
              <w:ind w:firstLine="709"/>
              <w:jc w:val="both"/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eastAsia="Times New Roman" w:cs="Times New Roman"/>
                <w:color w:val="333333"/>
                <w:sz w:val="28"/>
                <w:szCs w:val="28"/>
                <w:lang w:val="en-US" w:eastAsia="ru-RU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333333"/>
                <w:sz w:val="24"/>
                <w:szCs w:val="24"/>
                <w:lang w:val="en-US" w:eastAsia="ru-RU"/>
              </w:rPr>
            </w:r>
          </w:p>
        </w:tc>
      </w:tr>
    </w:tbl>
    <w:p>
      <w:pPr>
        <w:ind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333333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где:</w:t>
      </w:r>
      <w:r>
        <w:rPr>
          <w:rFonts w:ascii="Times New Roman" w:hAnsi="Times New Roman" w:eastAsia="Times New Roman" w:cs="Times New Roman"/>
          <w:color w:val="333333"/>
          <w:sz w:val="18"/>
          <w:szCs w:val="18"/>
          <w:lang w:eastAsia="ru-RU"/>
        </w:rPr>
      </w:r>
    </w:p>
    <w:p>
      <w:pPr>
        <w:ind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333333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vertAlign w:val="subscript"/>
          <w:lang w:eastAsia="ru-RU"/>
        </w:rPr>
        <w:t xml:space="preserve">iитог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 –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итоговая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сумма премиальной выплаты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для муниципального служащего;</w:t>
      </w:r>
      <w:r>
        <w:rPr>
          <w:rFonts w:ascii="Times New Roman" w:hAnsi="Times New Roman" w:eastAsia="Times New Roman" w:cs="Times New Roman"/>
          <w:color w:val="333333"/>
          <w:sz w:val="18"/>
          <w:szCs w:val="18"/>
          <w:lang w:eastAsia="ru-RU"/>
        </w:rPr>
      </w:r>
    </w:p>
    <w:p>
      <w:pPr>
        <w:ind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333333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РДСМС </w:t>
      </w:r>
      <w:r>
        <w:rPr>
          <w:rFonts w:ascii="Times New Roman" w:hAnsi="Times New Roman" w:eastAsia="Times New Roman" w:cs="Times New Roman"/>
          <w:color w:val="ff0000"/>
          <w:sz w:val="28"/>
          <w:szCs w:val="28"/>
          <w:lang w:eastAsia="ru-RU"/>
        </w:rPr>
        <w:t xml:space="preserve">– 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размер ежемесячного денежного содержания муниципальн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ого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 служащ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его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color w:val="333333"/>
          <w:sz w:val="18"/>
          <w:szCs w:val="18"/>
          <w:lang w:eastAsia="ru-RU"/>
        </w:rPr>
      </w:r>
    </w:p>
    <w:p>
      <w:pPr>
        <w:ind w:firstLine="709"/>
        <w:jc w:val="both"/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color w:val="333333"/>
          <w:sz w:val="18"/>
          <w:szCs w:val="18"/>
          <w:lang w:eastAsia="ru-RU"/>
        </w:rPr>
      </w:pP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К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vertAlign w:val="subscript"/>
          <w:lang w:eastAsia="ru-RU"/>
        </w:rPr>
        <w:t xml:space="preserve">д 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–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корректирующий </w:t>
      </w:r>
      <w:r>
        <w:rPr>
          <w:rFonts w:ascii="Times New Roman" w:hAnsi="Times New Roman" w:eastAsia="Times New Roman" w:cs="Times New Roman"/>
          <w:color w:val="333333"/>
          <w:sz w:val="28"/>
          <w:szCs w:val="28"/>
          <w:lang w:eastAsia="ru-RU"/>
        </w:rPr>
        <w:t xml:space="preserve">коэффициент премирования муниципального служащего.</w:t>
      </w:r>
      <w:r>
        <w:rPr>
          <w:rFonts w:ascii="Times New Roman" w:hAnsi="Times New Roman" w:eastAsia="Times New Roman" w:cs="Times New Roman"/>
          <w:color w:val="333333"/>
          <w:sz w:val="18"/>
          <w:szCs w:val="18"/>
          <w:lang w:eastAsia="ru-RU"/>
        </w:rPr>
      </w:r>
    </w:p>
    <w:p>
      <w:pPr>
        <w:ind w:firstLine="709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</w:t>
      </w:r>
      <w:r>
        <w:rPr>
          <w:rFonts w:ascii="Times New Roman" w:hAnsi="Times New Roman" w:cs="Times New Roman"/>
          <w:sz w:val="28"/>
          <w:szCs w:val="28"/>
        </w:rPr>
        <w:t xml:space="preserve"> Решение о выплате и конкретном размере поощрения муниципальному служащему принимается руководителем главного распорядителя бюджетных средств в пределах доведенных лимитов бюджетных обязательств за счет </w:t>
      </w:r>
      <w:r>
        <w:rPr>
          <w:rFonts w:ascii="Times New Roman" w:hAnsi="Times New Roman" w:cs="Times New Roman"/>
          <w:sz w:val="28"/>
          <w:szCs w:val="28"/>
        </w:rPr>
        <w:t xml:space="preserve">средств иного межбюджетного трансферта, предоставленного из областного бюджета бюджету муниципального района на поощрение муниципальных управленческих команд на </w:t>
      </w:r>
      <w:r>
        <w:rPr>
          <w:rFonts w:ascii="Times New Roman" w:hAnsi="Times New Roman" w:cs="Times New Roman"/>
          <w:sz w:val="28"/>
          <w:szCs w:val="28"/>
        </w:rPr>
        <w:t xml:space="preserve">2025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и оформляется правовым актом главного распорядителя бюджетных средств.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Уплата страховых взносов в соответствии с законодательством Российской Федерации осуществляется за счет межбюджетных трансфертов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из областного бюджета Липецкой области, предоставленных бюджету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Добринского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района на поощрение муниципальной управленческой команды на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2025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г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од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Style w:val="622"/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Контроль за целевым использованием </w:t>
      </w:r>
      <w:r>
        <w:rPr>
          <w:rStyle w:val="622"/>
          <w:rFonts w:ascii="Times New Roman" w:hAnsi="Times New Roman" w:cs="Times New Roman"/>
          <w:sz w:val="28"/>
          <w:szCs w:val="28"/>
        </w:rPr>
        <w:t xml:space="preserve">м</w:t>
      </w:r>
      <w:r>
        <w:rPr>
          <w:rStyle w:val="622"/>
          <w:rFonts w:ascii="Times New Roman" w:hAnsi="Times New Roman" w:cs="Times New Roman"/>
          <w:sz w:val="28"/>
          <w:szCs w:val="28"/>
        </w:rPr>
        <w:t xml:space="preserve">е</w:t>
      </w:r>
      <w:r>
        <w:rPr>
          <w:rStyle w:val="622"/>
          <w:rFonts w:ascii="Times New Roman" w:hAnsi="Times New Roman" w:cs="Times New Roman"/>
          <w:sz w:val="28"/>
          <w:szCs w:val="28"/>
        </w:rPr>
        <w:t xml:space="preserve">жбюджетных</w:t>
      </w:r>
      <w:r>
        <w:rPr>
          <w:rStyle w:val="622"/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трансфертов из областного бюджета Липецкой области, предоставленных бюджету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Добринск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ого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района на поощрение муниципальной управленческой команды на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2025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г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од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, осуществляют главные рас</w:t>
      </w:r>
      <w:r>
        <w:rPr>
          <w:rStyle w:val="622"/>
          <w:rFonts w:ascii="Times New Roman" w:hAnsi="Times New Roman" w:cs="Times New Roman"/>
          <w:sz w:val="28"/>
          <w:szCs w:val="28"/>
        </w:rPr>
        <w:t xml:space="preserve">поряди</w:t>
      </w:r>
      <w:r>
        <w:rPr>
          <w:rStyle w:val="622"/>
          <w:rFonts w:ascii="Times New Roman" w:hAnsi="Times New Roman" w:cs="Times New Roman"/>
          <w:sz w:val="28"/>
          <w:szCs w:val="28"/>
        </w:rPr>
        <w:t xml:space="preserve">тели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бюджет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ных средств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Добринск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ого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муниципального района.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</w:r>
      <w:r>
        <w:rPr>
          <w:rFonts w:ascii="Times New Roman" w:hAnsi="Times New Roman" w:eastAsia="Calibri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993" w:right="851" w:bottom="993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504020204"/>
  </w:font>
  <w:font w:name="Gulim">
    <w:panose1 w:val="020B0600000101010101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18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character" w:styleId="621" w:customStyle="1">
    <w:name w:val="Основной текст (2)_"/>
    <w:basedOn w:val="618"/>
    <w:link w:val="623"/>
    <w:rPr>
      <w:rFonts w:ascii="Times New Roman" w:hAnsi="Times New Roman" w:eastAsia="Times New Roman" w:cs="Times New Roman"/>
      <w:sz w:val="18"/>
      <w:szCs w:val="18"/>
      <w:shd w:val="clear" w:color="auto" w:fill="ffffff"/>
    </w:rPr>
  </w:style>
  <w:style w:type="character" w:styleId="622" w:customStyle="1">
    <w:name w:val="Основной текст (2) + Gulim;7 pt"/>
    <w:basedOn w:val="621"/>
    <w:rPr>
      <w:rFonts w:ascii="Gulim" w:hAnsi="Gulim" w:eastAsia="Gulim" w:cs="Gulim"/>
      <w:color w:val="000000"/>
      <w:spacing w:val="0"/>
      <w:position w:val="0"/>
      <w:sz w:val="14"/>
      <w:szCs w:val="14"/>
      <w:shd w:val="clear" w:color="auto" w:fill="ffffff"/>
      <w:lang w:val="ru-RU" w:eastAsia="ru-RU" w:bidi="ru-RU"/>
    </w:rPr>
  </w:style>
  <w:style w:type="paragraph" w:styleId="623" w:customStyle="1">
    <w:name w:val="Основной текст (2)"/>
    <w:basedOn w:val="617"/>
    <w:link w:val="621"/>
    <w:pPr>
      <w:jc w:val="both"/>
      <w:spacing w:after="60" w:line="240" w:lineRule="exact"/>
      <w:shd w:val="clear" w:color="auto" w:fill="ffffff"/>
      <w:widowControl w:val="off"/>
    </w:pPr>
    <w:rPr>
      <w:rFonts w:ascii="Times New Roman" w:hAnsi="Times New Roman" w:eastAsia="Times New Roman" w:cs="Times New Roman"/>
      <w:sz w:val="18"/>
      <w:szCs w:val="18"/>
    </w:rPr>
  </w:style>
  <w:style w:type="paragraph" w:styleId="624">
    <w:name w:val="No Spacing"/>
    <w:uiPriority w:val="1"/>
    <w:qFormat/>
    <w:pPr>
      <w:spacing w:after="0" w:line="240" w:lineRule="auto"/>
    </w:pPr>
  </w:style>
  <w:style w:type="paragraph" w:styleId="625">
    <w:name w:val="Balloon Text"/>
    <w:basedOn w:val="617"/>
    <w:link w:val="626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26" w:customStyle="1">
    <w:name w:val="Текст выноски Знак"/>
    <w:basedOn w:val="618"/>
    <w:link w:val="625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image" Target="media/image1.png"/><Relationship Id="rId10" Type="http://schemas.openxmlformats.org/officeDocument/2006/relationships/hyperlink" Target="https://login.consultant.ru/link/?req=doc&amp;base=LAW&amp;n=426376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465509-385E-4212-81AC-567845D57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Зимин Игорь Иванович</dc:creator>
  <cp:keywords/>
  <dc:description/>
  <cp:lastModifiedBy>Сергей Горбачёв</cp:lastModifiedBy>
  <cp:revision>3</cp:revision>
  <dcterms:created xsi:type="dcterms:W3CDTF">2025-10-29T10:57:00Z</dcterms:created>
  <dcterms:modified xsi:type="dcterms:W3CDTF">2025-11-28T06:18:20Z</dcterms:modified>
</cp:coreProperties>
</file>