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                  </w:t>
            </w: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8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63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63"/>
        <w:ind w:right="-1"/>
      </w:pPr>
      <w:r>
        <w:t xml:space="preserve">ДОБРИНСКОГО</w:t>
      </w:r>
      <w:r>
        <w:t xml:space="preserve"> </w:t>
      </w:r>
      <w:r>
        <w:t xml:space="preserve"> МУНИЦИПАЛЬНОГО</w:t>
      </w:r>
      <w:r>
        <w:t xml:space="preserve"> </w:t>
      </w:r>
      <w:r>
        <w:t xml:space="preserve"> </w:t>
      </w:r>
      <w:r>
        <w:t xml:space="preserve">ОКРУГА</w:t>
      </w:r>
      <w:r/>
    </w:p>
    <w:p>
      <w:pPr>
        <w:ind w:right="-1"/>
        <w:jc w:val="center"/>
        <w:rPr>
          <w:sz w:val="32"/>
        </w:rPr>
      </w:pPr>
      <w:r>
        <w:rPr>
          <w:sz w:val="32"/>
        </w:rPr>
        <w:t xml:space="preserve">Липецкой области</w:t>
      </w:r>
      <w:r>
        <w:rPr>
          <w:sz w:val="32"/>
        </w:rPr>
        <w:t xml:space="preserve">  Российской Федерации</w:t>
      </w:r>
      <w:r>
        <w:rPr>
          <w:sz w:val="32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  <w:t xml:space="preserve">1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-го созыва</w:t>
      </w:r>
      <w:r>
        <w:rPr>
          <w:sz w:val="28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ind w:right="-1"/>
        <w:jc w:val="center"/>
        <w:tabs>
          <w:tab w:val="left" w:pos="7530" w:leader="none"/>
        </w:tabs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54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  <w:t xml:space="preserve">РЕШЕНИЕ</w:t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61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-рс</w:t>
      </w:r>
      <w:r>
        <w:rPr>
          <w:color w:val="ff0000"/>
          <w:sz w:val="28"/>
          <w:szCs w:val="28"/>
        </w:rPr>
      </w:r>
    </w:p>
    <w:p>
      <w:pPr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b/>
          <w:iCs/>
          <w:sz w:val="28"/>
          <w:szCs w:val="28"/>
        </w:rPr>
        <w:t xml:space="preserve">О Положени</w:t>
      </w:r>
      <w:r>
        <w:rPr>
          <w:b/>
          <w:iCs/>
          <w:sz w:val="28"/>
          <w:szCs w:val="28"/>
        </w:rPr>
        <w:t xml:space="preserve">и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«</w:t>
      </w:r>
      <w:r>
        <w:rPr>
          <w:rFonts w:eastAsiaTheme="minorHAnsi"/>
          <w:b/>
          <w:sz w:val="28"/>
          <w:szCs w:val="28"/>
          <w:lang w:eastAsia="en-US"/>
        </w:rPr>
        <w:t xml:space="preserve">Об упорядочении оплаты труда работников, заключивших трудовой договор о работе в органах местного самоуправления </w:t>
      </w:r>
      <w:r>
        <w:rPr>
          <w:rFonts w:eastAsiaTheme="minorHAnsi"/>
          <w:b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b/>
          <w:sz w:val="28"/>
          <w:szCs w:val="28"/>
          <w:lang w:eastAsia="en-US"/>
        </w:rPr>
        <w:t xml:space="preserve"> муниципального округа»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65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Рассмотрев проект Положения «Об упорядочении оплаты труда работников, заключивших трудовой договор о работе в органах местного самоуправления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округа», руководствуясь действующим законодательством, </w:t>
      </w:r>
      <w:hyperlink r:id="rId9" w:tooltip="https://login.consultant.ru/link/?req=doc&amp;base=RLAW220&amp;n=139727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Уставом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 Липецкой области Российской Федерации, учитывая совместное решение постоянных комиссий, Совет депутатов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РЕШИЛ:</w:t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contextualSpacing/>
        <w:ind w:firstLine="539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Принять </w:t>
      </w:r>
      <w:hyperlink r:id="rId10" w:tooltip="https://login.consultant.ru/link/?req=doc&amp;base=RLAW220&amp;n=144117&amp;dst=100011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Положение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«Об упорядочении оплаты труда работников, заключивших трудовой договор о работе в органах местного самоуправления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округа» (прилагается).</w:t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39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Наделить главу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района Липецкой области Российской Федерации правом на подписание Положения «Об оплате труда работников муниципальных учреждений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округа».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900"/>
        <w:jc w:val="both"/>
        <w:tabs>
          <w:tab w:val="left" w:pos="900" w:leader="none"/>
        </w:tabs>
        <w:rPr>
          <w:bCs/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3.</w:t>
      </w:r>
      <w:r>
        <w:rPr>
          <w:bCs/>
          <w:sz w:val="28"/>
        </w:rPr>
        <w:t xml:space="preserve">Направить указанный нормативный правовой акт главе   </w:t>
      </w:r>
      <w:r>
        <w:rPr>
          <w:bCs/>
          <w:sz w:val="28"/>
        </w:rPr>
        <w:t xml:space="preserve">Добринского</w:t>
      </w:r>
      <w:r>
        <w:rPr>
          <w:bCs/>
          <w:sz w:val="28"/>
        </w:rPr>
        <w:t xml:space="preserve"> муниципального района Липецкой области Российской Федерации для подписания и официального опубликования.</w:t>
      </w:r>
      <w:r>
        <w:rPr>
          <w:bCs/>
          <w:sz w:val="28"/>
        </w:rPr>
      </w:r>
    </w:p>
    <w:p>
      <w:pPr>
        <w:contextualSpacing/>
        <w:ind w:firstLine="539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Настоящее решение вступает в силу со дня его </w:t>
      </w:r>
      <w:r>
        <w:rPr>
          <w:rFonts w:eastAsiaTheme="minorHAnsi"/>
          <w:sz w:val="28"/>
          <w:szCs w:val="28"/>
          <w:lang w:eastAsia="en-US"/>
        </w:rPr>
        <w:t xml:space="preserve">официального опубликования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депутатов</w:t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Добринского</w:t>
      </w:r>
      <w:r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 xml:space="preserve">округа</w:t>
      </w:r>
      <w:r>
        <w:rPr>
          <w:b/>
          <w:bCs/>
          <w:sz w:val="28"/>
          <w:szCs w:val="28"/>
        </w:rPr>
        <w:tab/>
        <w:t xml:space="preserve">                      </w:t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С.С. Григорьев</w:t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Принято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решением Совета депутатов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14.10.2025г.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-рс</w:t>
      </w:r>
      <w:r>
        <w:rPr>
          <w:sz w:val="28"/>
          <w:szCs w:val="28"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ПОЛОЖЕНИЕ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ОБ УПОРЯДОЧЕНИИ ОПЛАТЫ ТРУДА РАБОТНИКОВ, ЗАКЛЮЧИВШИХ ТРУДОВОЙ ДОГОВОР О РАБОТЕ В ОРГАНАХ МЕСТНОГО САМОУПРАВЛЕНИЯ ДОБРИНСКОГО МУНИЦИПАЛЬНОГО ОКРУГА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  <w:outlineLvl w:val="0"/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Статья 1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повышения эффективности и качества работы, усиления материальной заинтересованности в </w:t>
      </w:r>
      <w:r>
        <w:rPr>
          <w:rFonts w:eastAsiaTheme="minorHAnsi"/>
          <w:sz w:val="28"/>
          <w:szCs w:val="28"/>
          <w:lang w:eastAsia="en-US"/>
        </w:rPr>
        <w:t xml:space="preserve">результатах труда, развития творческой активности и инициативы в реализации задач и функций, возложенных на работников, занимающих должности, не отнесенные к муниципальным должностям, заключивших трудовой договор о работе в органах местного самоуправления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Установить размеры должностных окладов: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работников, заключивших трудовой договор о работе в органах местного самоуправления и осуществляющих функции документационного и хозяйственного обеспечения деятельности органов муниципальной власти, согласно </w:t>
      </w:r>
      <w:hyperlink w:tooltip="#Par99" w:anchor="Par99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приложению  1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 настоящему Положению;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работников, заключивших трудовой договор о работе в органах местного самоуправления и осуществляющих функции финансового и информационного обеспечения деятельности органов муниципальной власти, согласно </w:t>
      </w:r>
      <w:hyperlink w:tooltip="#Par164" w:anchor="Par164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приложению  2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/>
      <w:bookmarkStart w:id="0" w:name="Par16"/>
      <w:r/>
      <w:bookmarkEnd w:id="0"/>
      <w:r>
        <w:rPr>
          <w:rFonts w:eastAsiaTheme="minorHAnsi"/>
          <w:sz w:val="28"/>
          <w:szCs w:val="28"/>
          <w:lang w:eastAsia="en-US"/>
        </w:rPr>
        <w:t xml:space="preserve">1.2. Установить ежемесячную надбавку за сложность, напряженность, высокие достижения в труде: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работникам, осуществляющим функции финансового и информационного обеспечения, - в размере от 150% до 200% должностного оклада;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работникам, осуществляющим функции документационного и хозяйственного обеспечения, - в размере от 60% до 100% должностного оклада.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Ежемесячная надбавка за сложность, напряженность, высокие достижения в труде устанавливается: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минимальном размере - при принятии в органы местного самоуправления впервые;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максимальном размере - при наличии стажа работы по специальности не менее 7 лет или стажа муниципальной службы не менее 5 лет.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Ежемесячная надбавка за сложность, напряженность, высокие достижения в труде устанавливается в соответствии с решением руководителя, осуществляющего функции представителя нанимателя, с учетом объема работы и показателей результатов труда.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Руководителем органа местного самоуправления с учетом поступивших от руководителей структурных подразделений (в том числе с правом юридического лица) предложений, может приниматься решение об изменении размера надбавки в пределах, установленных </w:t>
      </w:r>
      <w:hyperlink w:tooltip="#Par16" w:anchor="Par16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пунктом 1.2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Выплата надбавки за сложность, напряженность, высокие достижения в труде производится ежемесячно одновременно с другими выплатами и учитывается п</w:t>
      </w:r>
      <w:r>
        <w:rPr>
          <w:rFonts w:eastAsiaTheme="minorHAnsi"/>
          <w:sz w:val="28"/>
          <w:szCs w:val="28"/>
          <w:lang w:eastAsia="en-US"/>
        </w:rPr>
        <w:t xml:space="preserve">ри исчислении среднего заработка при предоставлении работнику отпуска с сохранением средней заработной платы и в других случаях, с которыми связана выплата заработной платы, а также для выплаты пособия по временной нетрудоспособности, беременности и родам.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Установить ежемесячную надбавку за выслугу лет (за исключением следующих должностей: водитель служебного легкового автомобиля, уборщик служебных помещений, сторож) к должностному окладу в следующих размерах: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 стаже работы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Размер надбавки (в процентах)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3 до 8 лет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8 до 13 лет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13 до 18 лет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 18 до 25 лет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9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свыше 25 лет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79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Размер надбавки за выслугу лет устанавливается в приказе (распоряжении) о приеме на работу и назначении на должность.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Увеличение размера ежемесячной надбавки за выслугу лет при изменении продолжительности стажа производится на основании решения руководителя, осуществляющего функции представителя нанимателя.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установлении надбавки за выслугу лет учитываются периоды: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замещения государственных (муниципальных) должностей и должностей государственной (муниципальной) службы Российской Федерации;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работы на выборных должностях на постоянной основе в органах государственной власти и органах местного самоуправления;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работы в соответствующей отрасли или по специальности.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Водителям служебных легковых автомобилей производится выплата ежемесячной надбавки за классность в следующих размерах: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- 1 класс - 25% должностного оклада;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- 2 класс - 10% должностного оклада.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  <w:outlineLvl w:val="0"/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Статья 2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Премирование работников производится по результатам </w:t>
      </w:r>
      <w:r>
        <w:rPr>
          <w:rFonts w:eastAsiaTheme="minorHAnsi"/>
          <w:sz w:val="28"/>
          <w:szCs w:val="28"/>
          <w:lang w:eastAsia="en-US"/>
        </w:rPr>
        <w:t xml:space="preserve">работы</w:t>
      </w:r>
      <w:r>
        <w:rPr>
          <w:rFonts w:eastAsiaTheme="minorHAnsi"/>
          <w:sz w:val="28"/>
          <w:szCs w:val="28"/>
          <w:lang w:eastAsia="en-US"/>
        </w:rPr>
        <w:t xml:space="preserve"> за месяц исходя из одной трети должностного оклада с учетом надбавок за фактически отработанное время (включая период нахождения в ежегодном оплачиваемом отпуске) и максимальными размерами не ограничивается.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Прем</w:t>
      </w:r>
      <w:r>
        <w:rPr>
          <w:rFonts w:eastAsiaTheme="minorHAnsi"/>
          <w:sz w:val="28"/>
          <w:szCs w:val="28"/>
          <w:lang w:eastAsia="en-US"/>
        </w:rPr>
        <w:t xml:space="preserve">ирование работников производится за своевременное и добросовестное выполнение должностных обязанностей, мероприятий и заданий с учетом личного вклада каждого работника в размерах, определяемых руководителем, осуществляющим функции представителя нанимателя.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определении размера премии работникам основаниями для понижения размера и лишения премии являются: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несоблюдение установленных сроков выполнения поручений или должностных обязанностей, некачественное их выполнение без уважительных причин;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ненадлежащее качество работы с документами и поручениями руководителей;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нарушение трудовой дисциплины.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наличии экономии средств по фонду оплаты труда выплачиваются разовые премии без ограничения максимальным размером за выполнение особо важных и сложных заданий.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Работнику оказывается материальная помощь в течение календарного года в двукратном размере должностного оклада с надбавками.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наличии экономии средств по фон</w:t>
      </w:r>
      <w:r>
        <w:rPr>
          <w:rFonts w:eastAsiaTheme="minorHAnsi"/>
          <w:sz w:val="28"/>
          <w:szCs w:val="28"/>
          <w:lang w:eastAsia="en-US"/>
        </w:rPr>
        <w:t xml:space="preserve">ду оплаты труда работнику оказывается материальная помощь дополнительно в связи с юбилейными датами и в особых случаях (несчастье, смерть супруга (супруги), его родителей, детей, стихийные бедствия) в размере, не превышающем должностной оклад с надбавками.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  <w:outlineLvl w:val="0"/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Статья 3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3.1.При формировании фонда оплаты труда работников, осуществляющих функции финансового и информационного обеспечения деятельности органов местного самоуправления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округа, предусматриваются средства на выплату (в расчете на год):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  должностных окладов - в размере 12 должностных окладов;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ежемесячной надбавки за сложность, напряженность, высокие достижения в труде - в размере 24 должностных окладов;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ежемесячной надбавки за выслугу лет - в размере 2 должностных окладов;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 премии по результатам работы - в размере 4 должностных окладов с учетом надбавок;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 материальной помощи - в размере 2 должностных окладов с учетом надбавок.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При формировании фонда оплаты труда работников, осуществляющих функции документационного и хозяйственного обеспечения деятельности органов местного самоуправления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округа, предусматриваются средства на выплату (в расчете на год):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  должностных окладов - в размере 12 должностных окладов;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ежемесячной надбавки за сложность, напряженность, высокие достижения в труде - в размере 12 должностных окладов;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ежемесячной надбавки за выслугу лет - в размере 2 должностных окладов;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ежемесячной надбавки за классность водителям служебных легковых автомобилей - в размере 3 должностных окладов;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премии по результатам работы - в размере 4 должностных окладов с учетом надбавок;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spacing w:before="28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материальной помощи - в размере 2 должностных окладов с учетом надбавок.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  <w:outlineLvl w:val="0"/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Статья 4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Выплаты компенсационного характера работникам производятся в порядке и на условиях, установленных трудовым законодательством Российской Федерации.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Добринского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муниципального района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А.Н. Пасынков</w:t>
      </w:r>
      <w:r>
        <w:rPr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Приложение  1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Положению об упорядочении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оплаты труда работников,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заключивших</w:t>
      </w:r>
      <w:r>
        <w:rPr>
          <w:rFonts w:eastAsiaTheme="minorHAnsi"/>
          <w:sz w:val="28"/>
          <w:szCs w:val="28"/>
          <w:lang w:eastAsia="en-US"/>
        </w:rPr>
        <w:t xml:space="preserve"> трудовой договор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работе в органах местного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самоуправления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муниципального округа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/>
      <w:bookmarkStart w:id="1" w:name="Par99"/>
      <w:r/>
      <w:bookmarkEnd w:id="1"/>
      <w:r/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РАЗМЕРЫ ДОЛЖНОСТНЫХ ОКЛАДОВ РАБОТНИКОВ, ЗАКЛЮЧИВШИХ ТРУДОВОЙ ДОГОВОР О РАБОТЕ В ОРГАНАХ МЕСТНОГО САМОУПРАВЛЕНИЯ И ОСУЩЕСТВЛЯЮЩИХ ФУНКЦИИ ДОКУМЕНТАЦИОННОГО И ХОЗЯЙСТВЕННОГО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ОБЕСПЕЧЕНИЯ ДЕЯТЕЛЬНОСТИ ОРГАНОВ МЕСТНОГО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САМОУПРАВЛЕНИЯ ОКРУГА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руб. в месяц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Старший инспектор,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старший статистик,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архивом,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машинописным бюро,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копировально-множительным бюро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9 604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Инспектор,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статистик,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экспедицией,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хозяйством,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кассир,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комендант,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делопроизводитель,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архивариус,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стенографистка I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7 817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Стенографистка II категории,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секретарь-стенографистка,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машинистка I категории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6 992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Машинистка II категории,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секретарь-машинистка,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секретарь руководителя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6 114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Водитель служебного легкового автомобиля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5 957</w:t>
            </w:r>
            <w:bookmarkStart w:id="2" w:name="_GoBack"/>
            <w:r/>
            <w:bookmarkEnd w:id="2"/>
            <w:r/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Уборщик служебных помещений,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лифтер,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вахтер,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сторож,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гардеробщица,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дворник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6 574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Экспедитор,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кладовщик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5 800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6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Теплотехник,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техник-электрик,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слесарь-сантехник,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столяр-плотник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5 508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Приложение 2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Положению об упорядочении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оплаты труда работников,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заключивших</w:t>
      </w:r>
      <w:r>
        <w:rPr>
          <w:rFonts w:eastAsiaTheme="minorHAnsi"/>
          <w:sz w:val="28"/>
          <w:szCs w:val="28"/>
          <w:lang w:eastAsia="en-US"/>
        </w:rPr>
        <w:t xml:space="preserve"> трудовой договор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работе в органах местного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самоуправления </w:t>
      </w:r>
      <w:r>
        <w:rPr>
          <w:rFonts w:eastAsiaTheme="minorHAnsi"/>
          <w:sz w:val="28"/>
          <w:szCs w:val="28"/>
          <w:lang w:eastAsia="en-US"/>
        </w:rPr>
        <w:t xml:space="preserve">Добринского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муниципального округа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/>
      <w:bookmarkStart w:id="3" w:name="Par164"/>
      <w:r/>
      <w:bookmarkEnd w:id="3"/>
      <w:r>
        <w:rPr>
          <w:rFonts w:eastAsiaTheme="minorHAnsi"/>
          <w:b/>
          <w:bCs/>
          <w:sz w:val="28"/>
          <w:szCs w:val="28"/>
          <w:lang w:eastAsia="en-US"/>
        </w:rPr>
        <w:t xml:space="preserve">РАЗМЕРЫ ДОЛЖНОСТНЫХ ОКЛАДОВ РАБОТНИКОВ, ЗАКЛЮЧИВШИХ ТРУДОВОЙ ДОГОВОР О РАБОТЕ В ОРГАНАХ МЕСТНОГО САМОУПРАВЛЕНИЯ И ОСУЩЕСТВЛЯЮЩИХ ФУНКЦИИ ФИНАНСОВОГО И ИНФОРМАЦИОННОГО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ОБЕСПЕЧЕНИЯ ДЕЯТЕЛЬНОСТИ ОРГАНОВ МЕСТНОГО САМОУПРАВЛЕНИЯ</w:t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2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должностей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Должностной оклад, руб. в месяц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Старший бухгалтер,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старший экономист,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старший программист,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старший инженер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8 486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72" w:type="dxa"/>
            <w:textDirection w:val="lrTb"/>
            <w:noWrap w:val="false"/>
          </w:tcPr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 бухгалтер,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 экономист,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 программист,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ведущий инженер,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  <w:p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администратор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8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6 929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</w:p>
        </w:tc>
      </w:tr>
    </w:tbl>
    <w:p>
      <w:r/>
      <w:r/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5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character" w:styleId="37">
    <w:name w:val="Subtitle Char"/>
    <w:basedOn w:val="655"/>
    <w:link w:val="663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8"/>
    <w:uiPriority w:val="99"/>
  </w:style>
  <w:style w:type="character" w:styleId="45">
    <w:name w:val="Footer Char"/>
    <w:basedOn w:val="655"/>
    <w:link w:val="67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4">
    <w:name w:val="Heading 7"/>
    <w:basedOn w:val="653"/>
    <w:next w:val="653"/>
    <w:link w:val="658"/>
    <w:uiPriority w:val="9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character" w:styleId="658" w:customStyle="1">
    <w:name w:val="Заголовок 7 Знак"/>
    <w:basedOn w:val="655"/>
    <w:link w:val="654"/>
    <w:uiPriority w:val="9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59">
    <w:name w:val="No Spacing"/>
    <w:link w:val="660"/>
    <w:uiPriority w:val="1"/>
    <w:qFormat/>
    <w:pPr>
      <w:spacing w:after="0" w:line="240" w:lineRule="auto"/>
    </w:pPr>
  </w:style>
  <w:style w:type="character" w:styleId="660" w:customStyle="1">
    <w:name w:val="Без интервала Знак"/>
    <w:link w:val="659"/>
    <w:uiPriority w:val="1"/>
  </w:style>
  <w:style w:type="paragraph" w:styleId="661">
    <w:name w:val="Body Text Indent 3"/>
    <w:basedOn w:val="653"/>
    <w:link w:val="662"/>
    <w:unhideWhenUsed/>
    <w:qFormat/>
    <w:pPr>
      <w:ind w:left="283"/>
      <w:spacing w:after="120"/>
    </w:pPr>
    <w:rPr>
      <w:sz w:val="16"/>
      <w:szCs w:val="16"/>
    </w:rPr>
  </w:style>
  <w:style w:type="character" w:styleId="662" w:customStyle="1">
    <w:name w:val="Основной текст с отступом 3 Знак"/>
    <w:basedOn w:val="655"/>
    <w:link w:val="66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63">
    <w:name w:val="Subtitle"/>
    <w:basedOn w:val="653"/>
    <w:link w:val="664"/>
    <w:qFormat/>
    <w:pPr>
      <w:jc w:val="center"/>
    </w:pPr>
    <w:rPr>
      <w:sz w:val="32"/>
      <w:szCs w:val="32"/>
    </w:rPr>
  </w:style>
  <w:style w:type="character" w:styleId="664" w:customStyle="1">
    <w:name w:val="Подзаголовок Знак"/>
    <w:basedOn w:val="655"/>
    <w:link w:val="663"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65">
    <w:name w:val="Balloon Text"/>
    <w:basedOn w:val="653"/>
    <w:link w:val="666"/>
    <w:uiPriority w:val="99"/>
    <w:semiHidden/>
    <w:unhideWhenUsed/>
    <w:rPr>
      <w:rFonts w:ascii="Tahoma" w:hAnsi="Tahoma" w:cs="Tahoma"/>
      <w:sz w:val="16"/>
      <w:szCs w:val="16"/>
    </w:rPr>
  </w:style>
  <w:style w:type="character" w:styleId="666" w:customStyle="1">
    <w:name w:val="Текст выноски Знак"/>
    <w:basedOn w:val="655"/>
    <w:link w:val="66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667">
    <w:name w:val="Hyperlink"/>
    <w:basedOn w:val="655"/>
    <w:uiPriority w:val="99"/>
    <w:semiHidden/>
    <w:unhideWhenUsed/>
    <w:rPr>
      <w:color w:val="0000ff"/>
      <w:u w:val="single"/>
    </w:rPr>
  </w:style>
  <w:style w:type="paragraph" w:styleId="668">
    <w:name w:val="Header"/>
    <w:basedOn w:val="653"/>
    <w:link w:val="6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9" w:customStyle="1">
    <w:name w:val="Верхний колонтитул Знак"/>
    <w:basedOn w:val="655"/>
    <w:link w:val="66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0">
    <w:name w:val="Footer"/>
    <w:basedOn w:val="653"/>
    <w:link w:val="6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basedOn w:val="655"/>
    <w:link w:val="6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login.consultant.ru/link/?req=doc&amp;base=RLAW220&amp;n=139727" TargetMode="External"/><Relationship Id="rId10" Type="http://schemas.openxmlformats.org/officeDocument/2006/relationships/hyperlink" Target="https://login.consultant.ru/link/?req=doc&amp;base=RLAW220&amp;n=144117&amp;dst=1000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5</cp:revision>
  <dcterms:created xsi:type="dcterms:W3CDTF">2025-10-09T10:13:00Z</dcterms:created>
  <dcterms:modified xsi:type="dcterms:W3CDTF">2025-11-28T06:12:19Z</dcterms:modified>
</cp:coreProperties>
</file>