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719C9" w14:textId="12DCD9AE" w:rsidR="008B4C90" w:rsidRDefault="008B4C90" w:rsidP="003B74A0">
      <w:pPr>
        <w:spacing w:after="80" w:line="240" w:lineRule="auto"/>
        <w:contextualSpacing/>
        <w:jc w:val="center"/>
        <w:rPr>
          <w:rFonts w:ascii="Times New Roman" w:eastAsiaTheme="majorEastAsia" w:hAnsi="Times New Roman" w:cs="Times New Roman"/>
          <w:b/>
          <w:spacing w:val="-10"/>
          <w:kern w:val="28"/>
          <w:sz w:val="28"/>
          <w:szCs w:val="28"/>
          <w:lang w:val="ru-RU"/>
        </w:rPr>
      </w:pPr>
      <w:r w:rsidRPr="00441EA2">
        <w:rPr>
          <w:b/>
          <w:noProof/>
          <w:lang w:val="ru-RU" w:eastAsia="ru-RU"/>
        </w:rPr>
        <w:drawing>
          <wp:inline distT="0" distB="0" distL="0" distR="0" wp14:anchorId="3D9790D3" wp14:editId="7A9BB35C">
            <wp:extent cx="542925" cy="676275"/>
            <wp:effectExtent l="0" t="0" r="9525" b="9525"/>
            <wp:docPr id="3" name="Рисунок 3" descr="герб1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герб1Ч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BB434" w14:textId="77777777" w:rsidR="008B4C90" w:rsidRDefault="008B4C90" w:rsidP="003B74A0">
      <w:pPr>
        <w:spacing w:after="80" w:line="240" w:lineRule="auto"/>
        <w:contextualSpacing/>
        <w:jc w:val="center"/>
        <w:rPr>
          <w:rFonts w:ascii="Times New Roman" w:eastAsiaTheme="majorEastAsia" w:hAnsi="Times New Roman" w:cs="Times New Roman"/>
          <w:b/>
          <w:spacing w:val="-10"/>
          <w:kern w:val="28"/>
          <w:sz w:val="28"/>
          <w:szCs w:val="28"/>
          <w:lang w:val="ru-RU"/>
        </w:rPr>
      </w:pPr>
    </w:p>
    <w:p w14:paraId="5F374146" w14:textId="7844DE93" w:rsidR="003B74A0" w:rsidRPr="003B74A0" w:rsidRDefault="003B74A0" w:rsidP="003B74A0">
      <w:pPr>
        <w:spacing w:after="80" w:line="240" w:lineRule="auto"/>
        <w:contextualSpacing/>
        <w:jc w:val="center"/>
        <w:rPr>
          <w:rFonts w:ascii="Times New Roman" w:eastAsiaTheme="majorEastAsia" w:hAnsi="Times New Roman" w:cs="Times New Roman"/>
          <w:b/>
          <w:spacing w:val="-10"/>
          <w:kern w:val="28"/>
          <w:sz w:val="28"/>
          <w:szCs w:val="28"/>
          <w:lang w:val="ru-RU"/>
        </w:rPr>
      </w:pPr>
      <w:r w:rsidRPr="003B74A0">
        <w:rPr>
          <w:rFonts w:ascii="Times New Roman" w:eastAsiaTheme="majorEastAsia" w:hAnsi="Times New Roman" w:cs="Times New Roman"/>
          <w:b/>
          <w:spacing w:val="-10"/>
          <w:kern w:val="28"/>
          <w:sz w:val="28"/>
          <w:szCs w:val="28"/>
          <w:lang w:val="ru-RU"/>
        </w:rPr>
        <w:t>УПРАВЛЕНИЕ ФИНАНСОВ</w:t>
      </w:r>
    </w:p>
    <w:p w14:paraId="65D005A6" w14:textId="77777777" w:rsidR="003B74A0" w:rsidRDefault="003B74A0" w:rsidP="003B74A0">
      <w:pPr>
        <w:spacing w:after="80" w:line="240" w:lineRule="auto"/>
        <w:contextualSpacing/>
        <w:jc w:val="center"/>
        <w:rPr>
          <w:rFonts w:ascii="Times New Roman" w:eastAsiaTheme="majorEastAsia" w:hAnsi="Times New Roman" w:cs="Times New Roman"/>
          <w:b/>
          <w:spacing w:val="-10"/>
          <w:kern w:val="28"/>
          <w:sz w:val="28"/>
          <w:szCs w:val="28"/>
          <w:lang w:val="ru-RU"/>
        </w:rPr>
      </w:pPr>
      <w:r w:rsidRPr="003B74A0">
        <w:rPr>
          <w:rFonts w:ascii="Times New Roman" w:eastAsiaTheme="majorEastAsia" w:hAnsi="Times New Roman" w:cs="Times New Roman"/>
          <w:b/>
          <w:spacing w:val="-10"/>
          <w:kern w:val="28"/>
          <w:sz w:val="28"/>
          <w:szCs w:val="28"/>
          <w:lang w:val="ru-RU"/>
        </w:rPr>
        <w:t>АДМИНИСТРАЦИИ ДОБРИНСКОГО МУНИЦИПАЛЬНОГО  ОКРУГА</w:t>
      </w:r>
    </w:p>
    <w:p w14:paraId="58D6D291" w14:textId="2DE16762" w:rsidR="00392D69" w:rsidRPr="003B74A0" w:rsidRDefault="00392D69" w:rsidP="003B74A0">
      <w:pPr>
        <w:spacing w:after="80" w:line="240" w:lineRule="auto"/>
        <w:contextualSpacing/>
        <w:jc w:val="center"/>
        <w:rPr>
          <w:rFonts w:ascii="Times New Roman" w:eastAsiaTheme="majorEastAsia" w:hAnsi="Times New Roman" w:cs="Times New Roman"/>
          <w:b/>
          <w:spacing w:val="-10"/>
          <w:kern w:val="28"/>
          <w:sz w:val="28"/>
          <w:szCs w:val="28"/>
          <w:lang w:val="ru-RU"/>
        </w:rPr>
      </w:pPr>
      <w:r>
        <w:rPr>
          <w:rFonts w:ascii="Times New Roman" w:eastAsiaTheme="majorEastAsia" w:hAnsi="Times New Roman" w:cs="Times New Roman"/>
          <w:b/>
          <w:spacing w:val="-10"/>
          <w:kern w:val="28"/>
          <w:sz w:val="28"/>
          <w:szCs w:val="28"/>
          <w:lang w:val="ru-RU"/>
        </w:rPr>
        <w:t>ЛИПЕЦКОЙ ОБЛАСТИ РОССИЙСКОЙ ФЕДЕРАЦИИ</w:t>
      </w:r>
    </w:p>
    <w:p w14:paraId="7875AEBB" w14:textId="77777777" w:rsidR="003B74A0" w:rsidRPr="003B74A0" w:rsidRDefault="003B74A0" w:rsidP="003B74A0">
      <w:pPr>
        <w:spacing w:after="80" w:line="240" w:lineRule="auto"/>
        <w:contextualSpacing/>
        <w:jc w:val="center"/>
        <w:rPr>
          <w:rFonts w:ascii="Times New Roman" w:eastAsiaTheme="majorEastAsia" w:hAnsi="Times New Roman" w:cs="Times New Roman"/>
          <w:b/>
          <w:spacing w:val="-10"/>
          <w:kern w:val="28"/>
          <w:sz w:val="28"/>
          <w:szCs w:val="28"/>
          <w:lang w:val="ru-RU"/>
        </w:rPr>
      </w:pPr>
    </w:p>
    <w:p w14:paraId="55BD3EAF" w14:textId="1602A61F" w:rsidR="003B74A0" w:rsidRPr="008B4C90" w:rsidRDefault="003B74A0" w:rsidP="003B74A0">
      <w:pPr>
        <w:keepNext/>
        <w:keepLines/>
        <w:spacing w:before="360" w:after="80"/>
        <w:outlineLvl w:val="0"/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36"/>
          <w:szCs w:val="36"/>
          <w:lang w:val="ru-RU"/>
        </w:rPr>
      </w:pPr>
      <w:r w:rsidRPr="00086E4A">
        <w:rPr>
          <w:rFonts w:ascii="Times New Roman" w:eastAsiaTheme="majorEastAsia" w:hAnsi="Times New Roman" w:cs="Times New Roman"/>
          <w:color w:val="2F5496" w:themeColor="accent1" w:themeShade="BF"/>
          <w:sz w:val="26"/>
          <w:szCs w:val="26"/>
          <w:lang w:val="ru-RU"/>
        </w:rPr>
        <w:t xml:space="preserve">                                                             </w:t>
      </w:r>
      <w:r w:rsidRPr="008B4C90">
        <w:rPr>
          <w:rFonts w:ascii="Times New Roman" w:eastAsiaTheme="majorEastAsia" w:hAnsi="Times New Roman" w:cs="Times New Roman"/>
          <w:b/>
          <w:bCs/>
          <w:sz w:val="36"/>
          <w:szCs w:val="36"/>
          <w:lang w:val="ru-RU"/>
        </w:rPr>
        <w:t>П Р И К А З</w:t>
      </w:r>
    </w:p>
    <w:p w14:paraId="581A9810" w14:textId="6437C2E9" w:rsidR="003B74A0" w:rsidRPr="00086E4A" w:rsidRDefault="003B74A0" w:rsidP="003B74A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</w:pPr>
      <w:r w:rsidRPr="00086E4A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п.</w:t>
      </w:r>
      <w:r w:rsidR="003B56D2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</w:t>
      </w:r>
      <w:r w:rsidRPr="00086E4A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Добринка</w:t>
      </w:r>
    </w:p>
    <w:p w14:paraId="0F488B83" w14:textId="77777777" w:rsidR="003B74A0" w:rsidRPr="00086E4A" w:rsidRDefault="003B74A0" w:rsidP="003B74A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</w:pPr>
    </w:p>
    <w:p w14:paraId="6D1CD111" w14:textId="4A3D40F5" w:rsidR="003B74A0" w:rsidRPr="00F647B0" w:rsidRDefault="003B74A0" w:rsidP="003B74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F647B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«</w:t>
      </w:r>
      <w:proofErr w:type="gramStart"/>
      <w:r w:rsidR="004A2FD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16</w:t>
      </w:r>
      <w:r w:rsidRPr="00F647B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» </w:t>
      </w:r>
      <w:r w:rsidR="00F647B0" w:rsidRPr="00F647B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</w:t>
      </w:r>
      <w:proofErr w:type="gramEnd"/>
      <w:r w:rsidR="00F647B0" w:rsidRPr="00F647B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</w:t>
      </w:r>
      <w:r w:rsidR="00A92B5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января</w:t>
      </w:r>
      <w:r w:rsidRPr="00F647B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202</w:t>
      </w:r>
      <w:r w:rsidR="00A92B5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6</w:t>
      </w:r>
      <w:r w:rsidR="003B56D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F647B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г.                                                                              №</w:t>
      </w:r>
      <w:r w:rsidR="004A2FD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4</w:t>
      </w:r>
    </w:p>
    <w:p w14:paraId="058D6706" w14:textId="77777777" w:rsidR="003B74A0" w:rsidRPr="00086E4A" w:rsidRDefault="003B74A0" w:rsidP="003B74A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kern w:val="0"/>
          <w:sz w:val="26"/>
          <w:szCs w:val="26"/>
          <w:lang w:val="ru-RU" w:eastAsia="ru-RU"/>
        </w:rPr>
      </w:pPr>
    </w:p>
    <w:p w14:paraId="2B201C8C" w14:textId="40D6038F" w:rsidR="003B74A0" w:rsidRPr="008B4C90" w:rsidRDefault="00086E4A" w:rsidP="003B74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</w:pPr>
      <w:r>
        <w:rPr>
          <w:rFonts w:ascii="Times New Roman" w:eastAsiaTheme="minorEastAsia" w:hAnsi="Times New Roman" w:cs="Times New Roman"/>
          <w:kern w:val="0"/>
          <w:sz w:val="26"/>
          <w:szCs w:val="26"/>
          <w:lang w:val="ru-RU" w:eastAsia="ru-RU"/>
        </w:rPr>
        <w:t xml:space="preserve"> </w:t>
      </w:r>
      <w:r w:rsidR="003B74A0" w:rsidRPr="008B4C90"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  <w:t>О порядке завершения операций</w:t>
      </w:r>
    </w:p>
    <w:p w14:paraId="50D2334C" w14:textId="199B76A1" w:rsidR="007B152A" w:rsidRDefault="003B74A0" w:rsidP="003B74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</w:pPr>
      <w:r w:rsidRPr="008B4C90"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  <w:t xml:space="preserve"> по исполнению</w:t>
      </w:r>
      <w:r w:rsidR="00466860"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  <w:t xml:space="preserve"> </w:t>
      </w:r>
      <w:r w:rsidRPr="008B4C90"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  <w:t xml:space="preserve"> </w:t>
      </w:r>
      <w:r w:rsidR="004A2FDB"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  <w:t xml:space="preserve"> </w:t>
      </w:r>
      <w:r w:rsidRPr="008B4C90"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  <w:t>бюджета</w:t>
      </w:r>
      <w:r w:rsidR="007B152A"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  <w:t xml:space="preserve"> Добринского</w:t>
      </w:r>
    </w:p>
    <w:p w14:paraId="6C4AF88E" w14:textId="7C22ACDE" w:rsidR="003B74A0" w:rsidRPr="008B4C90" w:rsidRDefault="007B152A" w:rsidP="003B74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</w:pPr>
      <w:r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  <w:t xml:space="preserve"> муниципального </w:t>
      </w:r>
      <w:r w:rsidR="003B74A0" w:rsidRPr="008B4C90"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  <w:t xml:space="preserve"> </w:t>
      </w:r>
      <w:r w:rsidR="004A2FDB"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  <w:t xml:space="preserve"> </w:t>
      </w:r>
      <w:r w:rsidR="003B74A0" w:rsidRPr="008B4C90"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  <w:t>округа</w:t>
      </w:r>
      <w:r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  <w:t xml:space="preserve"> Липецкой   области Российской Федерации</w:t>
      </w:r>
    </w:p>
    <w:p w14:paraId="757C75C9" w14:textId="069B969D" w:rsidR="003B74A0" w:rsidRPr="008B4C90" w:rsidRDefault="003B74A0" w:rsidP="003B74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</w:pPr>
      <w:r w:rsidRPr="008B4C90"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  <w:t xml:space="preserve"> в текущем финансовом году и обеспечени</w:t>
      </w:r>
      <w:r w:rsidR="00F647B0"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  <w:t>я</w:t>
      </w:r>
      <w:r w:rsidRPr="008B4C90"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  <w:t xml:space="preserve"> получателей</w:t>
      </w:r>
    </w:p>
    <w:p w14:paraId="6136707F" w14:textId="77777777" w:rsidR="00392D69" w:rsidRPr="008B4C90" w:rsidRDefault="003B74A0" w:rsidP="003B74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</w:pPr>
      <w:r w:rsidRPr="008B4C90"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  <w:t xml:space="preserve"> бюджетных средств при завершении текущего финансового года </w:t>
      </w:r>
    </w:p>
    <w:p w14:paraId="1CB60FBF" w14:textId="00869AD2" w:rsidR="003B74A0" w:rsidRPr="008B4C90" w:rsidRDefault="00392D69" w:rsidP="003B74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</w:pPr>
      <w:r w:rsidRPr="008B4C90"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  <w:t xml:space="preserve"> </w:t>
      </w:r>
      <w:r w:rsidR="003B74A0" w:rsidRPr="008B4C90"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  <w:t>наличными деньгами</w:t>
      </w:r>
    </w:p>
    <w:p w14:paraId="597DE635" w14:textId="77777777" w:rsidR="003B74A0" w:rsidRPr="00086E4A" w:rsidRDefault="003B74A0" w:rsidP="003B74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6"/>
          <w:szCs w:val="26"/>
          <w:lang w:val="ru-RU" w:eastAsia="ru-RU"/>
        </w:rPr>
      </w:pPr>
    </w:p>
    <w:p w14:paraId="1639CC1F" w14:textId="0DAACF67" w:rsidR="005E73F6" w:rsidRPr="008B4C90" w:rsidRDefault="008B4C90" w:rsidP="008B4C90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Hlk216975631"/>
      <w:r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  <w:t xml:space="preserve">       </w:t>
      </w:r>
      <w:r w:rsidR="003B74A0" w:rsidRPr="008B4C90"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  <w:t xml:space="preserve">В соответствии со </w:t>
      </w:r>
      <w:hyperlink r:id="rId5" w:history="1">
        <w:r w:rsidR="003B74A0" w:rsidRPr="008B4C90">
          <w:rPr>
            <w:rFonts w:ascii="Times New Roman" w:eastAsiaTheme="minorEastAsia" w:hAnsi="Times New Roman" w:cs="Times New Roman"/>
            <w:color w:val="0000FF"/>
            <w:kern w:val="0"/>
            <w:sz w:val="28"/>
            <w:szCs w:val="28"/>
            <w:lang w:val="ru-RU" w:eastAsia="ru-RU"/>
          </w:rPr>
          <w:t>статьей 242</w:t>
        </w:r>
      </w:hyperlink>
      <w:r w:rsidR="003B74A0" w:rsidRPr="008B4C90"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  <w:t xml:space="preserve"> Бюджетного кодекса Российской Федерации,</w:t>
      </w:r>
      <w:r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  <w:t xml:space="preserve"> стать</w:t>
      </w:r>
      <w:r w:rsidR="00F647B0"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  <w:t>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E73F6" w:rsidRPr="008B4C90">
        <w:rPr>
          <w:rFonts w:ascii="Times New Roman" w:hAnsi="Times New Roman" w:cs="Times New Roman"/>
          <w:sz w:val="28"/>
          <w:szCs w:val="28"/>
          <w:lang w:val="ru-RU"/>
        </w:rPr>
        <w:t>60 Решения Совета депутатов Добринского муниципального округа от 30.09.2025года №21-рс</w:t>
      </w:r>
      <w:r w:rsidR="00A162CA">
        <w:rPr>
          <w:rFonts w:ascii="Times New Roman" w:hAnsi="Times New Roman" w:cs="Times New Roman"/>
          <w:sz w:val="28"/>
          <w:szCs w:val="28"/>
          <w:lang w:val="ru-RU"/>
        </w:rPr>
        <w:t>. О</w:t>
      </w:r>
      <w:r w:rsidR="005E73F6" w:rsidRPr="008B4C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«П</w:t>
      </w:r>
      <w:r w:rsidR="005E73F6" w:rsidRPr="008B4C90">
        <w:rPr>
          <w:rFonts w:ascii="Times New Roman" w:hAnsi="Times New Roman" w:cs="Times New Roman"/>
          <w:sz w:val="28"/>
          <w:szCs w:val="28"/>
          <w:lang w:val="ru-RU"/>
        </w:rPr>
        <w:t>оложени</w:t>
      </w:r>
      <w:r w:rsidR="00A162C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5E73F6" w:rsidRPr="008B4C90">
        <w:rPr>
          <w:rFonts w:ascii="Times New Roman" w:hAnsi="Times New Roman" w:cs="Times New Roman"/>
          <w:sz w:val="28"/>
          <w:szCs w:val="28"/>
          <w:lang w:val="ru-RU"/>
        </w:rPr>
        <w:t xml:space="preserve"> «О бюджетном процессе Добринского муниципального округа»</w:t>
      </w:r>
      <w:r w:rsidR="00086E4A" w:rsidRPr="008B4C9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DF5648E" w14:textId="42586F45" w:rsidR="003B74A0" w:rsidRPr="00A17245" w:rsidRDefault="003B74A0" w:rsidP="003B7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vertAlign w:val="superscript"/>
          <w:lang w:val="ru-RU" w:eastAsia="ru-RU"/>
        </w:rPr>
      </w:pPr>
      <w:r w:rsidRPr="008B4C90"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  <w:t>приказываю:</w:t>
      </w:r>
    </w:p>
    <w:p w14:paraId="5FB3C0DB" w14:textId="2838C59C" w:rsidR="003B74A0" w:rsidRDefault="003B74A0" w:rsidP="00086E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</w:pPr>
      <w:r w:rsidRPr="008B4C90"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  <w:t xml:space="preserve">1. </w:t>
      </w:r>
      <w:r w:rsidR="00086E4A" w:rsidRPr="008B4C90"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  <w:t xml:space="preserve"> </w:t>
      </w:r>
      <w:r w:rsidRPr="008B4C90"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  <w:t xml:space="preserve">Утвердить </w:t>
      </w:r>
      <w:hyperlink w:anchor="Par34" w:history="1">
        <w:r w:rsidRPr="008B4C90">
          <w:rPr>
            <w:rFonts w:ascii="Times New Roman" w:eastAsiaTheme="minorEastAsia" w:hAnsi="Times New Roman" w:cs="Times New Roman"/>
            <w:color w:val="0000FF"/>
            <w:kern w:val="0"/>
            <w:sz w:val="28"/>
            <w:szCs w:val="28"/>
            <w:lang w:val="ru-RU" w:eastAsia="ru-RU"/>
          </w:rPr>
          <w:t>Порядок</w:t>
        </w:r>
      </w:hyperlink>
      <w:r w:rsidRPr="008B4C90"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  <w:t xml:space="preserve"> завершения операций по исполнению  бюджета</w:t>
      </w:r>
      <w:r w:rsidR="007B152A"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  <w:t xml:space="preserve"> Добринского муниципального </w:t>
      </w:r>
      <w:r w:rsidRPr="008B4C90"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  <w:t xml:space="preserve"> округа в текущем финансовом году и обеспечения получателей бюджетных средств при завершении текущего финансового года наличными деньгами, необходимыми для осуществления их деятельности в нерабочие праздничные дни в январе очередного финансового года, согласно приложению.</w:t>
      </w:r>
    </w:p>
    <w:p w14:paraId="51E5D314" w14:textId="77777777" w:rsidR="00F647B0" w:rsidRPr="008B4C90" w:rsidRDefault="00F647B0" w:rsidP="00086E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</w:pPr>
    </w:p>
    <w:p w14:paraId="7F9F3F5F" w14:textId="199E1261" w:rsidR="003B74A0" w:rsidRPr="008B4C90" w:rsidRDefault="003B74A0" w:rsidP="00086E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4C90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086E4A" w:rsidRPr="008B4C9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8B4C90">
        <w:rPr>
          <w:rFonts w:ascii="Times New Roman" w:hAnsi="Times New Roman" w:cs="Times New Roman"/>
          <w:sz w:val="28"/>
          <w:szCs w:val="28"/>
          <w:lang w:val="ru-RU"/>
        </w:rPr>
        <w:t xml:space="preserve">Настоящий </w:t>
      </w:r>
      <w:r w:rsidR="00C12A7C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8B4C90">
        <w:rPr>
          <w:rFonts w:ascii="Times New Roman" w:hAnsi="Times New Roman" w:cs="Times New Roman"/>
          <w:sz w:val="28"/>
          <w:szCs w:val="28"/>
          <w:lang w:val="ru-RU"/>
        </w:rPr>
        <w:t xml:space="preserve">риказ вступает в силу с  1января 2026года.    </w:t>
      </w:r>
    </w:p>
    <w:p w14:paraId="7946E11B" w14:textId="5FD57320" w:rsidR="003B74A0" w:rsidRPr="00095925" w:rsidRDefault="007B152A" w:rsidP="00086E4A">
      <w:pPr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3B74A0" w:rsidRPr="008B4C9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B74A0" w:rsidRPr="008B4C9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bookmarkEnd w:id="0"/>
      <w:r w:rsidR="00466860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Настоящий приказ подлежит официальному опубликованию </w:t>
      </w:r>
      <w:r w:rsidR="00095925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на сайте муниципального автономного учреждения «Редакция газеты «</w:t>
      </w:r>
      <w:proofErr w:type="spellStart"/>
      <w:r w:rsidR="00095925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Добринские</w:t>
      </w:r>
      <w:proofErr w:type="spellEnd"/>
      <w:r w:rsidR="00095925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вести» (</w:t>
      </w:r>
      <w:hyperlink r:id="rId6" w:history="1">
        <w:r w:rsidR="00095925" w:rsidRPr="00985CD9">
          <w:rPr>
            <w:rStyle w:val="ae"/>
            <w:rFonts w:ascii="Times New Roman" w:eastAsia="Calibri" w:hAnsi="Times New Roman" w:cs="Times New Roman"/>
            <w:bCs/>
            <w:iCs/>
            <w:sz w:val="28"/>
            <w:szCs w:val="28"/>
          </w:rPr>
          <w:t>https</w:t>
        </w:r>
        <w:r w:rsidR="00095925" w:rsidRPr="00985CD9">
          <w:rPr>
            <w:rStyle w:val="ae"/>
            <w:rFonts w:ascii="Times New Roman" w:eastAsia="Calibri" w:hAnsi="Times New Roman" w:cs="Times New Roman"/>
            <w:bCs/>
            <w:iCs/>
            <w:sz w:val="28"/>
            <w:szCs w:val="28"/>
            <w:lang w:val="ru-RU"/>
          </w:rPr>
          <w:t>://</w:t>
        </w:r>
        <w:proofErr w:type="spellStart"/>
        <w:r w:rsidR="00095925" w:rsidRPr="00985CD9">
          <w:rPr>
            <w:rStyle w:val="ae"/>
            <w:rFonts w:ascii="Times New Roman" w:eastAsia="Calibri" w:hAnsi="Times New Roman" w:cs="Times New Roman"/>
            <w:bCs/>
            <w:iCs/>
            <w:sz w:val="28"/>
            <w:szCs w:val="28"/>
          </w:rPr>
          <w:t>dobvesti</w:t>
        </w:r>
        <w:proofErr w:type="spellEnd"/>
        <w:r w:rsidR="00095925" w:rsidRPr="00985CD9">
          <w:rPr>
            <w:rStyle w:val="ae"/>
            <w:rFonts w:ascii="Times New Roman" w:eastAsia="Calibri" w:hAnsi="Times New Roman" w:cs="Times New Roman"/>
            <w:bCs/>
            <w:iCs/>
            <w:sz w:val="28"/>
            <w:szCs w:val="28"/>
            <w:lang w:val="ru-RU"/>
          </w:rPr>
          <w:t>.</w:t>
        </w:r>
        <w:proofErr w:type="spellStart"/>
        <w:r w:rsidR="00095925" w:rsidRPr="00985CD9">
          <w:rPr>
            <w:rStyle w:val="ae"/>
            <w:rFonts w:ascii="Times New Roman" w:eastAsia="Calibri" w:hAnsi="Times New Roman" w:cs="Times New Roman"/>
            <w:bCs/>
            <w:iCs/>
            <w:sz w:val="28"/>
            <w:szCs w:val="28"/>
          </w:rPr>
          <w:t>ru</w:t>
        </w:r>
        <w:proofErr w:type="spellEnd"/>
      </w:hyperlink>
      <w:r w:rsidR="00095925" w:rsidRPr="00095925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) </w:t>
      </w:r>
      <w:r w:rsidR="00095925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и размещению на официальном сайте администрации Добринского муниципального округа Липецкой области в информационно-телекоммуникационной сети «Интернет».</w:t>
      </w:r>
    </w:p>
    <w:p w14:paraId="2F36B9CD" w14:textId="37367792" w:rsidR="003B74A0" w:rsidRPr="008B4C90" w:rsidRDefault="003B74A0" w:rsidP="00086E4A">
      <w:pPr>
        <w:tabs>
          <w:tab w:val="left" w:pos="900"/>
        </w:tabs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8B4C9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5. </w:t>
      </w:r>
      <w:r w:rsidR="00086E4A" w:rsidRPr="008B4C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4C90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Контроль за исполнением настоящего </w:t>
      </w:r>
      <w:r w:rsidR="00D33D11">
        <w:rPr>
          <w:rFonts w:ascii="Times New Roman" w:hAnsi="Times New Roman" w:cs="Times New Roman"/>
          <w:iCs/>
          <w:sz w:val="28"/>
          <w:szCs w:val="28"/>
          <w:lang w:val="ru-RU"/>
        </w:rPr>
        <w:t>п</w:t>
      </w:r>
      <w:r w:rsidRPr="008B4C90">
        <w:rPr>
          <w:rFonts w:ascii="Times New Roman" w:hAnsi="Times New Roman" w:cs="Times New Roman"/>
          <w:iCs/>
          <w:sz w:val="28"/>
          <w:szCs w:val="28"/>
          <w:lang w:val="ru-RU"/>
        </w:rPr>
        <w:t>риказа возложить на начальника управления финансов</w:t>
      </w:r>
      <w:r w:rsidR="007B152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администрации</w:t>
      </w:r>
      <w:r w:rsidRPr="008B4C90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Добринского муниципального округа</w:t>
      </w:r>
      <w:r w:rsidR="00F647B0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Быкову О.А</w:t>
      </w:r>
      <w:r w:rsidRPr="008B4C90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. </w:t>
      </w:r>
    </w:p>
    <w:tbl>
      <w:tblPr>
        <w:tblW w:w="10368" w:type="dxa"/>
        <w:tblLook w:val="01E0" w:firstRow="1" w:lastRow="1" w:firstColumn="1" w:lastColumn="1" w:noHBand="0" w:noVBand="0"/>
      </w:tblPr>
      <w:tblGrid>
        <w:gridCol w:w="5508"/>
        <w:gridCol w:w="4860"/>
      </w:tblGrid>
      <w:tr w:rsidR="003B74A0" w:rsidRPr="00086E4A" w14:paraId="1BD4C878" w14:textId="77777777" w:rsidTr="005A4395">
        <w:tc>
          <w:tcPr>
            <w:tcW w:w="5508" w:type="dxa"/>
          </w:tcPr>
          <w:p w14:paraId="6182C403" w14:textId="77777777" w:rsidR="003B74A0" w:rsidRDefault="003B74A0" w:rsidP="005A439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  <w:p w14:paraId="290CEA98" w14:textId="77777777" w:rsidR="00F647B0" w:rsidRDefault="00F647B0" w:rsidP="005A439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  <w:p w14:paraId="162BFD68" w14:textId="77777777" w:rsidR="00F647B0" w:rsidRDefault="00F647B0" w:rsidP="005A439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  <w:p w14:paraId="58AABE9D" w14:textId="77777777" w:rsidR="00F647B0" w:rsidRDefault="00F647B0" w:rsidP="005A439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  <w:p w14:paraId="4E1F7858" w14:textId="77777777" w:rsidR="00F647B0" w:rsidRDefault="00F647B0" w:rsidP="005A439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  <w:p w14:paraId="5CC195E0" w14:textId="77777777" w:rsidR="00F647B0" w:rsidRDefault="00F647B0" w:rsidP="005A439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  <w:p w14:paraId="48A7D90E" w14:textId="77777777" w:rsidR="00F647B0" w:rsidRDefault="00F647B0" w:rsidP="005A439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  <w:p w14:paraId="74475CC6" w14:textId="77777777" w:rsidR="00F647B0" w:rsidRPr="00F647B0" w:rsidRDefault="00F647B0" w:rsidP="005A439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  <w:p w14:paraId="70A69F6C" w14:textId="77777777" w:rsidR="003B74A0" w:rsidRPr="00F647B0" w:rsidRDefault="003B74A0" w:rsidP="00677BFC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F647B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Начальник управления финансов </w:t>
            </w:r>
          </w:p>
          <w:p w14:paraId="433EE77F" w14:textId="77777777" w:rsidR="003B74A0" w:rsidRPr="00F647B0" w:rsidRDefault="003B74A0" w:rsidP="00677BFC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F647B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администрации Добринского </w:t>
            </w:r>
          </w:p>
          <w:p w14:paraId="5F43D750" w14:textId="77777777" w:rsidR="003B74A0" w:rsidRPr="00F647B0" w:rsidRDefault="003B74A0" w:rsidP="00677B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47B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муниципального округа                                                  </w:t>
            </w:r>
          </w:p>
        </w:tc>
        <w:tc>
          <w:tcPr>
            <w:tcW w:w="4860" w:type="dxa"/>
          </w:tcPr>
          <w:p w14:paraId="48A812A5" w14:textId="77777777" w:rsidR="003B74A0" w:rsidRPr="00F647B0" w:rsidRDefault="003B74A0" w:rsidP="005A43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47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</w:t>
            </w:r>
          </w:p>
          <w:p w14:paraId="6ED1194D" w14:textId="77777777" w:rsidR="00F647B0" w:rsidRDefault="00F647B0" w:rsidP="005A43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F57DBE4" w14:textId="77777777" w:rsidR="00F647B0" w:rsidRDefault="00F647B0" w:rsidP="005A43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0779B95" w14:textId="77777777" w:rsidR="00F647B0" w:rsidRDefault="00F647B0" w:rsidP="005A43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F556F65" w14:textId="77777777" w:rsidR="00F647B0" w:rsidRDefault="00F647B0" w:rsidP="005A43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B9AF07B" w14:textId="77777777" w:rsidR="00F647B0" w:rsidRDefault="00F647B0" w:rsidP="005A43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A4C5B1E" w14:textId="77777777" w:rsidR="00F647B0" w:rsidRDefault="00F647B0" w:rsidP="005A43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D1456E1" w14:textId="77777777" w:rsidR="00F647B0" w:rsidRDefault="00F647B0" w:rsidP="0009592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FC2863D" w14:textId="77777777" w:rsidR="00F647B0" w:rsidRDefault="00F647B0" w:rsidP="005A43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FD6E618" w14:textId="77777777" w:rsidR="00F647B0" w:rsidRDefault="00F647B0" w:rsidP="005A43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2E02412" w14:textId="74A4C2ED" w:rsidR="003B74A0" w:rsidRPr="00F647B0" w:rsidRDefault="003B74A0" w:rsidP="005A4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7B0">
              <w:rPr>
                <w:rFonts w:ascii="Times New Roman" w:hAnsi="Times New Roman" w:cs="Times New Roman"/>
                <w:sz w:val="28"/>
                <w:szCs w:val="28"/>
              </w:rPr>
              <w:t>О.А. Быкова</w:t>
            </w:r>
          </w:p>
        </w:tc>
      </w:tr>
    </w:tbl>
    <w:p w14:paraId="4D1B55DF" w14:textId="77777777" w:rsidR="003B74A0" w:rsidRPr="00086E4A" w:rsidRDefault="003B74A0" w:rsidP="003B74A0">
      <w:pPr>
        <w:tabs>
          <w:tab w:val="left" w:pos="900"/>
        </w:tabs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40A25311" w14:textId="77777777" w:rsidR="00F647B0" w:rsidRDefault="00F647B0" w:rsidP="00F647B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</w:pPr>
    </w:p>
    <w:p w14:paraId="3BC30CCA" w14:textId="77777777" w:rsidR="00F647B0" w:rsidRDefault="00F647B0" w:rsidP="003B74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</w:pPr>
    </w:p>
    <w:p w14:paraId="17655356" w14:textId="77777777" w:rsidR="00F647B0" w:rsidRDefault="00F647B0" w:rsidP="00484F7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</w:pPr>
    </w:p>
    <w:p w14:paraId="5CC8E845" w14:textId="77777777" w:rsidR="00F647B0" w:rsidRDefault="00F647B0" w:rsidP="003B74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</w:pPr>
    </w:p>
    <w:p w14:paraId="5A634E41" w14:textId="77777777" w:rsidR="00484F72" w:rsidRDefault="00484F72" w:rsidP="003B74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</w:pPr>
    </w:p>
    <w:p w14:paraId="55020648" w14:textId="77777777" w:rsidR="00095925" w:rsidRDefault="00095925" w:rsidP="003B74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</w:pPr>
    </w:p>
    <w:p w14:paraId="2AF78135" w14:textId="77777777" w:rsidR="00095925" w:rsidRDefault="00095925" w:rsidP="003B74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</w:pPr>
    </w:p>
    <w:p w14:paraId="3C93BAED" w14:textId="77777777" w:rsidR="00095925" w:rsidRDefault="00095925" w:rsidP="003B74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</w:pPr>
    </w:p>
    <w:p w14:paraId="105296B1" w14:textId="77777777" w:rsidR="00095925" w:rsidRDefault="00095925" w:rsidP="003B74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</w:pPr>
    </w:p>
    <w:p w14:paraId="7CAFF365" w14:textId="77777777" w:rsidR="00095925" w:rsidRDefault="00095925" w:rsidP="003B74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</w:pPr>
    </w:p>
    <w:p w14:paraId="3AC6CA86" w14:textId="77777777" w:rsidR="00095925" w:rsidRDefault="00095925" w:rsidP="003B74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</w:pPr>
    </w:p>
    <w:p w14:paraId="7A765AE8" w14:textId="77777777" w:rsidR="00095925" w:rsidRDefault="00095925" w:rsidP="003B74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</w:pPr>
    </w:p>
    <w:p w14:paraId="73775367" w14:textId="77777777" w:rsidR="007B152A" w:rsidRDefault="007B152A" w:rsidP="003B74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</w:pPr>
    </w:p>
    <w:p w14:paraId="5B2680B7" w14:textId="77777777" w:rsidR="007B152A" w:rsidRDefault="007B152A" w:rsidP="003B74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</w:pPr>
    </w:p>
    <w:p w14:paraId="750EF8F6" w14:textId="77777777" w:rsidR="007B152A" w:rsidRDefault="007B152A" w:rsidP="003B74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</w:pPr>
    </w:p>
    <w:p w14:paraId="5F37872F" w14:textId="77777777" w:rsidR="007B152A" w:rsidRDefault="007B152A" w:rsidP="003B74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</w:pPr>
    </w:p>
    <w:p w14:paraId="612682ED" w14:textId="77777777" w:rsidR="007B152A" w:rsidRDefault="007B152A" w:rsidP="003B74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</w:pPr>
    </w:p>
    <w:p w14:paraId="5F280871" w14:textId="77777777" w:rsidR="007B152A" w:rsidRDefault="007B152A" w:rsidP="003B74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</w:pPr>
    </w:p>
    <w:p w14:paraId="1E431E47" w14:textId="77777777" w:rsidR="007B152A" w:rsidRDefault="007B152A" w:rsidP="003B74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</w:pPr>
    </w:p>
    <w:p w14:paraId="5CBFBDE0" w14:textId="77777777" w:rsidR="00484F72" w:rsidRDefault="00484F72" w:rsidP="00484F7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42E429DE" w14:textId="77777777" w:rsidR="00484F72" w:rsidRDefault="00484F72" w:rsidP="00484F7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к приказу управления финансов</w:t>
      </w:r>
    </w:p>
    <w:p w14:paraId="6150F77A" w14:textId="77777777" w:rsidR="00095925" w:rsidRDefault="00484F72" w:rsidP="00484F7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администрации </w:t>
      </w:r>
    </w:p>
    <w:p w14:paraId="46270E47" w14:textId="717CF1B1" w:rsidR="00484F72" w:rsidRDefault="00484F72" w:rsidP="00484F7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Добринского муниципального</w:t>
      </w:r>
    </w:p>
    <w:p w14:paraId="635B9175" w14:textId="6CC58B46" w:rsidR="00484F72" w:rsidRDefault="00484F72" w:rsidP="00484F7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округа </w:t>
      </w:r>
    </w:p>
    <w:p w14:paraId="4AE82346" w14:textId="40391F61" w:rsidR="00484F72" w:rsidRDefault="00484F72" w:rsidP="00484F7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  </w:t>
      </w:r>
      <w:r w:rsidR="004A2FDB">
        <w:rPr>
          <w:rFonts w:ascii="Times New Roman" w:hAnsi="Times New Roman" w:cs="Times New Roman"/>
          <w:bCs/>
          <w:sz w:val="24"/>
          <w:szCs w:val="24"/>
        </w:rPr>
        <w:t>16</w:t>
      </w:r>
      <w:r>
        <w:rPr>
          <w:rFonts w:ascii="Times New Roman" w:hAnsi="Times New Roman" w:cs="Times New Roman"/>
          <w:bCs/>
          <w:sz w:val="24"/>
          <w:szCs w:val="24"/>
        </w:rPr>
        <w:t xml:space="preserve"> января 2026 г. N </w:t>
      </w:r>
      <w:r w:rsidR="004A2FDB">
        <w:rPr>
          <w:rFonts w:ascii="Times New Roman" w:hAnsi="Times New Roman" w:cs="Times New Roman"/>
          <w:bCs/>
          <w:sz w:val="24"/>
          <w:szCs w:val="24"/>
        </w:rPr>
        <w:t>4</w:t>
      </w:r>
    </w:p>
    <w:p w14:paraId="469E123D" w14:textId="77777777" w:rsidR="00484F72" w:rsidRDefault="00484F72" w:rsidP="00484F7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92E97E2" w14:textId="77777777" w:rsidR="00484F72" w:rsidRDefault="00484F72" w:rsidP="00484F72">
      <w:pPr>
        <w:pStyle w:val="ConsPlusTitle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ПОРЯДОК</w:t>
      </w:r>
    </w:p>
    <w:p w14:paraId="4B859E41" w14:textId="39616866" w:rsidR="00484F72" w:rsidRDefault="00484F72" w:rsidP="00484F72">
      <w:pPr>
        <w:pStyle w:val="ConsPlusTitle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ЗАВЕРШЕНИЯ ОПЕРАЦИЙ ПО ИСПОЛНЕНИЮ БЮДЖЕТА</w:t>
      </w:r>
      <w:r w:rsidR="007B152A">
        <w:rPr>
          <w:rFonts w:ascii="Times New Roman" w:hAnsi="Times New Roman" w:cs="Times New Roman"/>
          <w:sz w:val="24"/>
          <w:szCs w:val="24"/>
        </w:rPr>
        <w:t xml:space="preserve"> ДОБРИНСКОГО </w:t>
      </w:r>
      <w:proofErr w:type="gramStart"/>
      <w:r w:rsidR="007B152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  <w:proofErr w:type="gramEnd"/>
    </w:p>
    <w:p w14:paraId="601505B1" w14:textId="77777777" w:rsidR="00484F72" w:rsidRDefault="00484F72" w:rsidP="00484F72">
      <w:pPr>
        <w:pStyle w:val="ConsPlusTitle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 ТЕКУЩЕМ ФИНАНСОВОМ ГОДУ И ОБЕСПЕЧЕНИЯ ПОЛУЧАТЕЛЕЙ</w:t>
      </w:r>
    </w:p>
    <w:p w14:paraId="21884E97" w14:textId="77777777" w:rsidR="00484F72" w:rsidRDefault="00484F72" w:rsidP="00484F72">
      <w:pPr>
        <w:pStyle w:val="ConsPlusTitle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БЮДЖЕТНЫХ СРЕДСТВ ПРИ ЗАВЕРШЕНИИ ТЕКУЩЕГО ФИНАНСОВОГО</w:t>
      </w:r>
    </w:p>
    <w:p w14:paraId="053BB0EE" w14:textId="77777777" w:rsidR="00484F72" w:rsidRDefault="00484F72" w:rsidP="00484F72">
      <w:pPr>
        <w:pStyle w:val="ConsPlusTitle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ГОДА НАЛИЧНЫМИ ДЕНЬГАМИ, НЕОБХОДИМЫМИ ДЛЯ ОСУЩЕСТВЛЕНИЯ</w:t>
      </w:r>
    </w:p>
    <w:p w14:paraId="5DFF452B" w14:textId="77777777" w:rsidR="00484F72" w:rsidRDefault="00484F72" w:rsidP="00484F72">
      <w:pPr>
        <w:pStyle w:val="ConsPlusTitle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ИХ ДЕЯТЕЛЬНОСТИ В НЕРАБОЧИЕ ПРАЗДНИЧНЫЕ ДНИ В ЯНВАРЕ</w:t>
      </w:r>
    </w:p>
    <w:p w14:paraId="250D70FE" w14:textId="77777777" w:rsidR="00484F72" w:rsidRDefault="00484F72" w:rsidP="00484F72">
      <w:pPr>
        <w:pStyle w:val="ConsPlusTitle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ОЧЕРЕДНОГО ФИНАНСОВОГО ГОДА</w:t>
      </w:r>
    </w:p>
    <w:p w14:paraId="0FB4891B" w14:textId="77777777" w:rsidR="00484F72" w:rsidRDefault="00484F72" w:rsidP="00484F7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BFC9991" w14:textId="4F207954" w:rsidR="00484F72" w:rsidRPr="00484F72" w:rsidRDefault="00484F72" w:rsidP="00484F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F72">
        <w:rPr>
          <w:rFonts w:ascii="Times New Roman" w:hAnsi="Times New Roman" w:cs="Times New Roman"/>
          <w:sz w:val="28"/>
          <w:szCs w:val="28"/>
        </w:rPr>
        <w:t>1. В соответствии со статьей 242 Бюджетного кодекса Российской Федерации исполнение бюджета Добринского муниципального округа (далее -бюджет округа) завершается 31 декабря текущего финансового года.</w:t>
      </w:r>
    </w:p>
    <w:p w14:paraId="449C1176" w14:textId="77777777" w:rsidR="00484F72" w:rsidRPr="00484F72" w:rsidRDefault="00484F72" w:rsidP="00484F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256C824" w14:textId="77777777" w:rsidR="00484F72" w:rsidRPr="00484F72" w:rsidRDefault="00484F72" w:rsidP="00484F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F72">
        <w:rPr>
          <w:rFonts w:ascii="Times New Roman" w:hAnsi="Times New Roman" w:cs="Times New Roman"/>
          <w:sz w:val="28"/>
          <w:szCs w:val="28"/>
        </w:rPr>
        <w:t>2. Бюджетные ассигнования, лимиты бюджетных обязательств и предельные объемы финансирования прекращают свое действие 31 декабря текущего финансового года.</w:t>
      </w:r>
    </w:p>
    <w:p w14:paraId="4648D29D" w14:textId="77777777" w:rsidR="00484F72" w:rsidRPr="00484F72" w:rsidRDefault="00484F72" w:rsidP="00484F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C49A16" w14:textId="77777777" w:rsidR="00484F72" w:rsidRPr="00484F72" w:rsidRDefault="00484F72" w:rsidP="00484F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F72">
        <w:rPr>
          <w:rFonts w:ascii="Times New Roman" w:hAnsi="Times New Roman" w:cs="Times New Roman"/>
          <w:sz w:val="28"/>
          <w:szCs w:val="28"/>
        </w:rPr>
        <w:t>3. Зачисление в бюджет округа поступлений завершенного финансового года, распределенных в установленном порядке управлением Федерального казначейства по Липецкой области (далее - УФК по Липецкой области) между бюджетами бюджетной системы Российской Федерации, и их отражение в отчетности об исполнении бюджета округа завершенного финансового года осуществляется в первые пять рабочих дней очередного финансового года.</w:t>
      </w:r>
    </w:p>
    <w:p w14:paraId="7B584203" w14:textId="77777777" w:rsidR="00484F72" w:rsidRPr="00484F72" w:rsidRDefault="00484F72" w:rsidP="00484F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E96F65" w14:textId="5E31AE42" w:rsidR="00484F72" w:rsidRPr="00484F72" w:rsidRDefault="00484F72" w:rsidP="00484F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F72">
        <w:rPr>
          <w:rFonts w:ascii="Times New Roman" w:hAnsi="Times New Roman" w:cs="Times New Roman"/>
          <w:sz w:val="28"/>
          <w:szCs w:val="28"/>
        </w:rPr>
        <w:t>4. В целях завершения операций по расходам бюджета округа и источникам финансирования дефицита бюджета округа управление финансов администрации Добринского муниципального округа Липецкой области</w:t>
      </w:r>
      <w:r w:rsidR="007B152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484F72">
        <w:rPr>
          <w:rFonts w:ascii="Times New Roman" w:hAnsi="Times New Roman" w:cs="Times New Roman"/>
          <w:sz w:val="28"/>
          <w:szCs w:val="28"/>
        </w:rPr>
        <w:t xml:space="preserve"> (далее –управление финансов округа) принимает от главных распорядителей средств бюджета округа (главных администраторов источников финансирования дефицита бюджета округа) не позднее чем:</w:t>
      </w:r>
    </w:p>
    <w:p w14:paraId="2D632460" w14:textId="77777777" w:rsidR="00484F72" w:rsidRPr="00484F72" w:rsidRDefault="00484F72" w:rsidP="00484F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773092" w14:textId="77777777" w:rsidR="00484F72" w:rsidRPr="00484F72" w:rsidRDefault="00484F72" w:rsidP="00484F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F72">
        <w:rPr>
          <w:rFonts w:ascii="Times New Roman" w:hAnsi="Times New Roman" w:cs="Times New Roman"/>
          <w:sz w:val="28"/>
          <w:szCs w:val="28"/>
        </w:rPr>
        <w:t>за три рабочих дня до окончания текущего финансового года - платежные документы для доведения бюджетных ассигнований, лимитов бюджетных обязательств и предельных объемов финансирования расходов до распорядителей и получателей средств бюджета округа;</w:t>
      </w:r>
    </w:p>
    <w:p w14:paraId="2A8F25A2" w14:textId="77777777" w:rsidR="00484F72" w:rsidRPr="00484F72" w:rsidRDefault="00484F72" w:rsidP="00484F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0A39476" w14:textId="77777777" w:rsidR="00484F72" w:rsidRPr="00484F72" w:rsidRDefault="00484F72" w:rsidP="00484F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F72">
        <w:rPr>
          <w:rFonts w:ascii="Times New Roman" w:hAnsi="Times New Roman" w:cs="Times New Roman"/>
          <w:sz w:val="28"/>
          <w:szCs w:val="28"/>
        </w:rPr>
        <w:lastRenderedPageBreak/>
        <w:t>за два рабочих дня до окончания текущего финансового года - платежные документы для доведения бюджетных ассигнований до администраторов источников финансирования дефицита бюджета округа;</w:t>
      </w:r>
    </w:p>
    <w:p w14:paraId="2E836030" w14:textId="77777777" w:rsidR="00484F72" w:rsidRPr="00484F72" w:rsidRDefault="00484F72" w:rsidP="00484F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0DEBCE" w14:textId="77777777" w:rsidR="00484F72" w:rsidRPr="00484F72" w:rsidRDefault="00484F72" w:rsidP="00484F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F72">
        <w:rPr>
          <w:rFonts w:ascii="Times New Roman" w:hAnsi="Times New Roman" w:cs="Times New Roman"/>
          <w:sz w:val="28"/>
          <w:szCs w:val="28"/>
        </w:rPr>
        <w:t>за четыре рабочих дня до окончания текущего финансового года - платежные документы на перечисление средств на открытые в подразделениях расчетной сети Банка России или кредитных организациях счета получателей средств бюджета округа, осуществляющих операции со средствами бюджета округа на этих счетах в соответствии с бюджетным законодательством Российской Федерации;</w:t>
      </w:r>
    </w:p>
    <w:p w14:paraId="0E1BF390" w14:textId="77777777" w:rsidR="00484F72" w:rsidRPr="00484F72" w:rsidRDefault="00484F72" w:rsidP="00484F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5B97DB" w14:textId="77777777" w:rsidR="00484F72" w:rsidRPr="00484F72" w:rsidRDefault="00484F72" w:rsidP="00484F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F72">
        <w:rPr>
          <w:rFonts w:ascii="Times New Roman" w:hAnsi="Times New Roman" w:cs="Times New Roman"/>
          <w:sz w:val="28"/>
          <w:szCs w:val="28"/>
        </w:rPr>
        <w:t>до последнего рабочего дня текущего финансового года - платежные документы, уменьшающие лимиты бюджетных обязательств и (или) предельные объемы финансирования расходов иных получателей средств бюджета округа в случае возврата остатков средств областного и федерального бюджетов, не использованных иным получателем средств в четыре рабочих дня до окончания текущего финансового года.</w:t>
      </w:r>
    </w:p>
    <w:p w14:paraId="11DD88E9" w14:textId="77777777" w:rsidR="00484F72" w:rsidRPr="00484F72" w:rsidRDefault="00484F72" w:rsidP="00484F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DA146E" w14:textId="77777777" w:rsidR="00484F72" w:rsidRPr="00484F72" w:rsidRDefault="00484F72" w:rsidP="00484F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F72">
        <w:rPr>
          <w:rFonts w:ascii="Times New Roman" w:hAnsi="Times New Roman" w:cs="Times New Roman"/>
          <w:sz w:val="28"/>
          <w:szCs w:val="28"/>
        </w:rPr>
        <w:t>5. Получатели средств бюджета округа (администраторы источников финансирования дефицита бюджета округа) обеспечивают представление в управление финансов округа платежных и иных документов, необходимых для подтверждения в установленном порядке принятых ими денежных обязательств, и последующего осуществления кассовых выплат из бюджета округа не позднее чем за один рабочий день до окончания текущего финансового года, а для осуществления операций по выплатам за счет наличных денег - не позднее чем за два рабочих дня до окончания текущего финансового года.</w:t>
      </w:r>
    </w:p>
    <w:p w14:paraId="1B4EAC3C" w14:textId="77777777" w:rsidR="00484F72" w:rsidRPr="00484F72" w:rsidRDefault="00484F72" w:rsidP="00484F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4323F68" w14:textId="77777777" w:rsidR="00484F72" w:rsidRPr="00484F72" w:rsidRDefault="00484F72" w:rsidP="00484F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F72">
        <w:rPr>
          <w:rFonts w:ascii="Times New Roman" w:hAnsi="Times New Roman" w:cs="Times New Roman"/>
          <w:sz w:val="28"/>
          <w:szCs w:val="28"/>
        </w:rPr>
        <w:t>При этом дата составления документа в поле "дата" платежного документа не должна быть позднее даты, установленной настоящим пунктом для представления данного платежного документа в управление финансов округа.</w:t>
      </w:r>
    </w:p>
    <w:p w14:paraId="06B748CF" w14:textId="77777777" w:rsidR="00484F72" w:rsidRPr="00484F72" w:rsidRDefault="00484F72" w:rsidP="00484F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70E060" w14:textId="6BAFA5F9" w:rsidR="00484F72" w:rsidRPr="00484F72" w:rsidRDefault="00484F72" w:rsidP="00484F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F72">
        <w:rPr>
          <w:rFonts w:ascii="Times New Roman" w:hAnsi="Times New Roman" w:cs="Times New Roman"/>
          <w:sz w:val="28"/>
          <w:szCs w:val="28"/>
        </w:rPr>
        <w:t>6. Управление финансов округа осуществляет в установленном порядке кассовые выплаты из</w:t>
      </w:r>
      <w:r w:rsidR="0009592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484F72">
        <w:rPr>
          <w:rFonts w:ascii="Times New Roman" w:hAnsi="Times New Roman" w:cs="Times New Roman"/>
          <w:sz w:val="28"/>
          <w:szCs w:val="28"/>
        </w:rPr>
        <w:t xml:space="preserve"> бюджета округа на основании платежных документов, указанных в пункте 5 настоящего Порядка, до последнего рабочего дня текущего финансового года включительно.</w:t>
      </w:r>
    </w:p>
    <w:p w14:paraId="455C9F09" w14:textId="77777777" w:rsidR="00484F72" w:rsidRPr="00484F72" w:rsidRDefault="00484F72" w:rsidP="00484F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4E0626" w14:textId="77777777" w:rsidR="00484F72" w:rsidRPr="00484F72" w:rsidRDefault="00484F72" w:rsidP="00484F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F72">
        <w:rPr>
          <w:rFonts w:ascii="Times New Roman" w:hAnsi="Times New Roman" w:cs="Times New Roman"/>
          <w:sz w:val="28"/>
          <w:szCs w:val="28"/>
        </w:rPr>
        <w:t>7. Досрочная выплата заработной платы за декабрь текущего финансового года осуществляется в сроки, установленные Центральным банком Российской Федерации.</w:t>
      </w:r>
    </w:p>
    <w:p w14:paraId="054E862C" w14:textId="77777777" w:rsidR="00484F72" w:rsidRPr="00484F72" w:rsidRDefault="00484F72" w:rsidP="00484F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D7F589" w14:textId="528D928B" w:rsidR="00484F72" w:rsidRPr="00484F72" w:rsidRDefault="00484F72" w:rsidP="00A92B5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F72">
        <w:rPr>
          <w:rFonts w:ascii="Times New Roman" w:hAnsi="Times New Roman" w:cs="Times New Roman"/>
          <w:sz w:val="28"/>
          <w:szCs w:val="28"/>
        </w:rPr>
        <w:lastRenderedPageBreak/>
        <w:t>8. Руководители учреждений обязаны принять меры по недопущению наличия остатков денежных средств в кассе по состоянию на 1 января очередного финансового года.</w:t>
      </w:r>
    </w:p>
    <w:p w14:paraId="57C94AFB" w14:textId="6B987356" w:rsidR="00484F72" w:rsidRPr="00A92B5C" w:rsidRDefault="00484F72" w:rsidP="00A92B5C">
      <w:pPr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484F72">
        <w:rPr>
          <w:rFonts w:ascii="Times New Roman" w:hAnsi="Times New Roman" w:cs="Times New Roman"/>
          <w:sz w:val="28"/>
          <w:szCs w:val="28"/>
          <w:lang w:val="ru-RU"/>
        </w:rPr>
        <w:t xml:space="preserve">      Остатки наличных денежных средств, включая выручку, полученную муниципальным бюджетным и муниципальным автономным учреждением, должны быть в срок не позднее чем за три рабочих дня до окончания текущего финансового года в полном объеме сданы на счет </w:t>
      </w:r>
      <w:r w:rsidRPr="00484F7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40116 "Средства для выдачи и внесения наличных денег и осуществления расчетов по отдельным операциям" (далее - счет </w:t>
      </w:r>
      <w:r w:rsidRPr="00484F72">
        <w:rPr>
          <w:rFonts w:ascii="Times New Roman" w:hAnsi="Times New Roman" w:cs="Times New Roman"/>
          <w:kern w:val="0"/>
          <w:sz w:val="28"/>
          <w:szCs w:val="28"/>
        </w:rPr>
        <w:t>N</w:t>
      </w:r>
      <w:r w:rsidRPr="00484F7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40116), открытый Управлению Федерального казначейства по Липецкой области.</w:t>
      </w:r>
    </w:p>
    <w:p w14:paraId="604E51E7" w14:textId="77777777" w:rsidR="00484F72" w:rsidRPr="00484F72" w:rsidRDefault="00484F72" w:rsidP="00484F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F72">
        <w:rPr>
          <w:rFonts w:ascii="Times New Roman" w:hAnsi="Times New Roman" w:cs="Times New Roman"/>
          <w:sz w:val="28"/>
          <w:szCs w:val="28"/>
        </w:rPr>
        <w:t xml:space="preserve">Наличие остатка денежных средств в кассе допускается только в исключительных случаях для обеспечения деятельности учреждения в нерабочие праздничные дни в январе очередного финансового года и должно быть оговорено в пояснительной записке к годовому отчету с обязательным указанием причины образования остатка в кассе. </w:t>
      </w:r>
    </w:p>
    <w:p w14:paraId="37A8F923" w14:textId="77777777" w:rsidR="00484F72" w:rsidRPr="00484F72" w:rsidRDefault="00484F72" w:rsidP="00484F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86A94F8" w14:textId="77777777" w:rsidR="00484F72" w:rsidRPr="00484F72" w:rsidRDefault="00484F72" w:rsidP="00484F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F72">
        <w:rPr>
          <w:rFonts w:ascii="Times New Roman" w:hAnsi="Times New Roman" w:cs="Times New Roman"/>
          <w:sz w:val="28"/>
          <w:szCs w:val="28"/>
        </w:rPr>
        <w:t>9. Остатки неиспользованных бюджетных ассигнований, лимитов бюджетных обязательств и предельных объемов финансирования для кассовых выплат из бюджета округа текущего финансового года, отраженные на лицевых счетах главных распорядителей, распорядителей и получателей средств бюджета округа (главных администраторов источников финансирования дефицита бюджета округа), не подлежат учету на указанных лицевых счетах в качестве остатков на начало очередного финансового года.</w:t>
      </w:r>
    </w:p>
    <w:p w14:paraId="5BE1E574" w14:textId="77777777" w:rsidR="00484F72" w:rsidRPr="00484F72" w:rsidRDefault="00484F72" w:rsidP="00484F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65F373" w14:textId="2A35C377" w:rsidR="00484F72" w:rsidRPr="00A92B5C" w:rsidRDefault="00484F72" w:rsidP="00484F72">
      <w:pPr>
        <w:jc w:val="both"/>
        <w:rPr>
          <w:rFonts w:ascii="Times New Roman" w:hAnsi="Times New Roman" w:cs="Times New Roman"/>
          <w:color w:val="C00000"/>
          <w:kern w:val="0"/>
          <w:sz w:val="28"/>
          <w:szCs w:val="28"/>
          <w:lang w:val="ru-RU"/>
        </w:rPr>
      </w:pPr>
      <w:r w:rsidRPr="00484F72">
        <w:rPr>
          <w:rFonts w:ascii="Times New Roman" w:hAnsi="Times New Roman" w:cs="Times New Roman"/>
          <w:sz w:val="28"/>
          <w:szCs w:val="28"/>
          <w:lang w:val="ru-RU"/>
        </w:rPr>
        <w:t xml:space="preserve">     10. Не использованные по состоянию на 1 января очередного финансового года остатки межбюджетных трансфертов, полученных из областного бюджета в форме субсидий, субвенций и иных межбюджетных трансфертов, имеющих целевое назначение (далее- целевые средства), подлежат возврату в областной бюджет органами местного самоуправления, </w:t>
      </w:r>
      <w:r w:rsidRPr="00484F7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которые в соответствии с муниципальными правовыми актами являются главными администраторами доходов бюджета, в сроки и порядке, установленные </w:t>
      </w:r>
      <w:hyperlink r:id="rId7" w:history="1">
        <w:r w:rsidRPr="00484F72">
          <w:rPr>
            <w:rStyle w:val="ae"/>
            <w:rFonts w:ascii="Times New Roman" w:hAnsi="Times New Roman" w:cs="Times New Roman"/>
            <w:color w:val="0000FF"/>
            <w:kern w:val="0"/>
            <w:sz w:val="28"/>
            <w:szCs w:val="28"/>
            <w:lang w:val="ru-RU"/>
          </w:rPr>
          <w:t>пунктом 5 статьи 242</w:t>
        </w:r>
      </w:hyperlink>
      <w:r w:rsidRPr="00484F7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Бюджетного кодекса Российской Федерации.</w:t>
      </w:r>
      <w:r w:rsidRPr="00484F72">
        <w:rPr>
          <w:rFonts w:ascii="Times New Roman" w:hAnsi="Times New Roman" w:cs="Times New Roman"/>
          <w:color w:val="C00000"/>
          <w:kern w:val="0"/>
          <w:sz w:val="28"/>
          <w:szCs w:val="28"/>
          <w:lang w:val="ru-RU"/>
        </w:rPr>
        <w:t xml:space="preserve">  </w:t>
      </w:r>
    </w:p>
    <w:p w14:paraId="17394B29" w14:textId="77777777" w:rsidR="00484F72" w:rsidRPr="00484F72" w:rsidRDefault="00484F72" w:rsidP="00484F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F72">
        <w:rPr>
          <w:rFonts w:ascii="Times New Roman" w:hAnsi="Times New Roman" w:cs="Times New Roman"/>
          <w:sz w:val="28"/>
          <w:szCs w:val="28"/>
        </w:rPr>
        <w:t>11. Остаток объемов финансирования по состоянию на 1 января очередного финансового года на лицевых счетах с отличительным признаком "01" и "03", открытых в УФК по Липецкой области, не допускается.</w:t>
      </w:r>
    </w:p>
    <w:p w14:paraId="0C052935" w14:textId="77777777" w:rsidR="00484F72" w:rsidRPr="00484F72" w:rsidRDefault="00484F72" w:rsidP="00484F72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44546A" w:themeColor="text2"/>
          <w:sz w:val="28"/>
          <w:szCs w:val="28"/>
        </w:rPr>
      </w:pPr>
    </w:p>
    <w:p w14:paraId="3D0A8A68" w14:textId="77777777" w:rsidR="00484F72" w:rsidRPr="00484F72" w:rsidRDefault="00484F72" w:rsidP="00484F72">
      <w:pPr>
        <w:ind w:firstLine="54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484F7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Главные распорядители бюджетных средств в срок не позднее чем за 2 рабочих дня до окончания текущего финансового года обеспечивают возврат остатков финансирования в полном объеме с указанных лицевых счетов на </w:t>
      </w:r>
      <w:r w:rsidRPr="00484F72">
        <w:rPr>
          <w:rFonts w:ascii="Times New Roman" w:hAnsi="Times New Roman" w:cs="Times New Roman"/>
          <w:kern w:val="0"/>
          <w:sz w:val="28"/>
          <w:szCs w:val="28"/>
          <w:lang w:val="ru-RU"/>
        </w:rPr>
        <w:lastRenderedPageBreak/>
        <w:t xml:space="preserve">лицевой счет управления финансов округа, открытый на казначейском счете </w:t>
      </w:r>
      <w:r w:rsidRPr="00484F72">
        <w:rPr>
          <w:rFonts w:ascii="Times New Roman" w:hAnsi="Times New Roman" w:cs="Times New Roman"/>
          <w:kern w:val="0"/>
          <w:sz w:val="28"/>
          <w:szCs w:val="28"/>
        </w:rPr>
        <w:t>N</w:t>
      </w:r>
      <w:r w:rsidRPr="00484F7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032316 "Единый счет бюджета" (далее - казначейский счет </w:t>
      </w:r>
      <w:r w:rsidRPr="00484F72">
        <w:rPr>
          <w:rFonts w:ascii="Times New Roman" w:hAnsi="Times New Roman" w:cs="Times New Roman"/>
          <w:kern w:val="0"/>
          <w:sz w:val="28"/>
          <w:szCs w:val="28"/>
        </w:rPr>
        <w:t>N</w:t>
      </w:r>
      <w:r w:rsidRPr="00484F7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032316) в УФК по Липецкой области.</w:t>
      </w:r>
    </w:p>
    <w:p w14:paraId="586C7B71" w14:textId="77777777" w:rsidR="00484F72" w:rsidRPr="00484F72" w:rsidRDefault="00484F72" w:rsidP="00484F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C878B7" w14:textId="77777777" w:rsidR="00484F72" w:rsidRPr="00484F72" w:rsidRDefault="00484F72" w:rsidP="00484F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F72">
        <w:rPr>
          <w:rFonts w:ascii="Times New Roman" w:hAnsi="Times New Roman" w:cs="Times New Roman"/>
          <w:sz w:val="28"/>
          <w:szCs w:val="28"/>
        </w:rPr>
        <w:t xml:space="preserve">12. Суммы, поступившие в бюджет округа от распределения в установленном порядке поступлений завершенного финансового года, зачисляются в установленном порядке на счет </w:t>
      </w:r>
      <w:r w:rsidRPr="00484F72">
        <w:rPr>
          <w:rFonts w:ascii="Times New Roman" w:hAnsi="Times New Roman" w:cs="Times New Roman"/>
          <w:color w:val="44546A" w:themeColor="text2"/>
          <w:sz w:val="28"/>
          <w:szCs w:val="28"/>
        </w:rPr>
        <w:t>N 032316</w:t>
      </w:r>
      <w:r w:rsidRPr="00484F72">
        <w:rPr>
          <w:rFonts w:ascii="Times New Roman" w:hAnsi="Times New Roman" w:cs="Times New Roman"/>
          <w:sz w:val="28"/>
          <w:szCs w:val="28"/>
        </w:rPr>
        <w:t xml:space="preserve"> УФК по Липецкой области в первые пять рабочих дней очередного финансового года и учитываются как доходы бюджета округа завершенного финансового года.</w:t>
      </w:r>
    </w:p>
    <w:p w14:paraId="29CBD614" w14:textId="77777777" w:rsidR="00484F72" w:rsidRPr="00484F72" w:rsidRDefault="00484F72" w:rsidP="00484F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E08FB1" w14:textId="77777777" w:rsidR="00484F72" w:rsidRPr="00484F72" w:rsidRDefault="00484F72" w:rsidP="00484F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F72">
        <w:rPr>
          <w:rFonts w:ascii="Times New Roman" w:hAnsi="Times New Roman" w:cs="Times New Roman"/>
          <w:sz w:val="28"/>
          <w:szCs w:val="28"/>
        </w:rPr>
        <w:t xml:space="preserve">13. Остатки средств бюджета округа завершенного финансового года, поступившие на счет N </w:t>
      </w:r>
      <w:r w:rsidRPr="00484F72">
        <w:rPr>
          <w:rFonts w:ascii="Times New Roman" w:hAnsi="Times New Roman" w:cs="Times New Roman"/>
          <w:color w:val="44546A" w:themeColor="text2"/>
          <w:sz w:val="28"/>
          <w:szCs w:val="28"/>
        </w:rPr>
        <w:t>032316</w:t>
      </w:r>
      <w:r w:rsidRPr="00484F72">
        <w:rPr>
          <w:rFonts w:ascii="Times New Roman" w:hAnsi="Times New Roman" w:cs="Times New Roman"/>
          <w:sz w:val="28"/>
          <w:szCs w:val="28"/>
        </w:rPr>
        <w:t xml:space="preserve"> УФК по Липецкой области, в очередном финансовом году подлежат перечислению в доход бюджета округа в порядке, установленном для возврата получателями средств бюджета округа дебиторской задолженности прошлых лет.</w:t>
      </w:r>
    </w:p>
    <w:p w14:paraId="40F52549" w14:textId="77777777" w:rsidR="00484F72" w:rsidRPr="00484F72" w:rsidRDefault="00484F72" w:rsidP="00484F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A42CE6" w14:textId="77777777" w:rsidR="00484F72" w:rsidRPr="00484F72" w:rsidRDefault="00484F72" w:rsidP="00484F72">
      <w:pPr>
        <w:ind w:firstLine="54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484F7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14. Получатели средств бюджета округа, осуществляющие свою деятельность в нерабочие праздничные дни в январе очередного финансового года, в целях финансового обеспечения указанной деятельности вправе иметь в кассе остаток наличных денежных средств завершенного финансового года в пределах установленной ими в соответствии с требованиями </w:t>
      </w:r>
      <w:hyperlink r:id="rId8" w:history="1">
        <w:r w:rsidRPr="00484F72">
          <w:rPr>
            <w:rStyle w:val="ae"/>
            <w:rFonts w:ascii="Times New Roman" w:hAnsi="Times New Roman" w:cs="Times New Roman"/>
            <w:color w:val="0000FF"/>
            <w:kern w:val="0"/>
            <w:sz w:val="28"/>
            <w:szCs w:val="28"/>
            <w:lang w:val="ru-RU"/>
          </w:rPr>
          <w:t>указания</w:t>
        </w:r>
      </w:hyperlink>
      <w:r w:rsidRPr="00484F7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Центрального банка Российской Федерации от 11 марта 2014 года </w:t>
      </w:r>
      <w:r w:rsidRPr="00484F72">
        <w:rPr>
          <w:rFonts w:ascii="Times New Roman" w:hAnsi="Times New Roman" w:cs="Times New Roman"/>
          <w:kern w:val="0"/>
          <w:sz w:val="28"/>
          <w:szCs w:val="28"/>
        </w:rPr>
        <w:t>N</w:t>
      </w:r>
      <w:r w:rsidRPr="00484F7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3210-У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 максимально допустимой суммы наличных денег, которая может храниться в кассе (далее - остатки наличных денежных средств).</w:t>
      </w:r>
    </w:p>
    <w:p w14:paraId="105B430F" w14:textId="77777777" w:rsidR="00484F72" w:rsidRPr="00484F72" w:rsidRDefault="00484F72" w:rsidP="00484F72">
      <w:pPr>
        <w:spacing w:before="200"/>
        <w:ind w:firstLine="54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484F7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Остатки наличных денежных средств по состоянию на 1 января очередного финансового года, не использованные в нерабочие праздничные дни очередного финансового года, подлежат взносу на счет </w:t>
      </w:r>
      <w:r w:rsidRPr="00484F72">
        <w:rPr>
          <w:rFonts w:ascii="Times New Roman" w:hAnsi="Times New Roman" w:cs="Times New Roman"/>
          <w:kern w:val="0"/>
          <w:sz w:val="28"/>
          <w:szCs w:val="28"/>
        </w:rPr>
        <w:t>N</w:t>
      </w:r>
      <w:r w:rsidRPr="00484F7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40116 не позднее третьего рабочего дня очередного финансового года в целях последующего перечисления в доход бюджета округа в порядке, установленном для возврата дебиторской задолженности прошлых лет получателей средств бюджета округа.</w:t>
      </w:r>
    </w:p>
    <w:p w14:paraId="18283F37" w14:textId="77777777" w:rsidR="00484F72" w:rsidRPr="00484F72" w:rsidRDefault="00484F72" w:rsidP="00484F72">
      <w:pPr>
        <w:spacing w:before="200"/>
        <w:ind w:firstLine="54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484F72">
        <w:rPr>
          <w:rFonts w:ascii="Times New Roman" w:hAnsi="Times New Roman" w:cs="Times New Roman"/>
          <w:kern w:val="0"/>
          <w:sz w:val="28"/>
          <w:szCs w:val="28"/>
          <w:lang w:val="ru-RU"/>
        </w:rPr>
        <w:t>Кассовые операции очередного финансового года за счет указанного в абзаце первом настоящего пункта остатка наличных денежных средств подлежат отражению в бюджетном учете и бюджетной отчетности за очередной финансовый год.</w:t>
      </w:r>
    </w:p>
    <w:p w14:paraId="5B0DCD43" w14:textId="77777777" w:rsidR="00484F72" w:rsidRPr="00484F72" w:rsidRDefault="00484F72" w:rsidP="00484F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BDEEE1" w14:textId="77777777" w:rsidR="00484F72" w:rsidRPr="00484F72" w:rsidRDefault="00484F72" w:rsidP="003B74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</w:pPr>
    </w:p>
    <w:p w14:paraId="4781EA5B" w14:textId="77777777" w:rsidR="00484F72" w:rsidRDefault="00484F72" w:rsidP="003B74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</w:pPr>
    </w:p>
    <w:p w14:paraId="5E087CDF" w14:textId="77777777" w:rsidR="00484F72" w:rsidRDefault="00484F72" w:rsidP="003B74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</w:pPr>
    </w:p>
    <w:p w14:paraId="06AB72B9" w14:textId="77777777" w:rsidR="00484F72" w:rsidRDefault="00484F72" w:rsidP="003B74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</w:pPr>
    </w:p>
    <w:p w14:paraId="7A5CD269" w14:textId="77777777" w:rsidR="00484F72" w:rsidRDefault="00484F72" w:rsidP="003B74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</w:pPr>
    </w:p>
    <w:p w14:paraId="5600F09E" w14:textId="77777777" w:rsidR="00484F72" w:rsidRDefault="00484F72" w:rsidP="003B74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</w:rPr>
      </w:pPr>
    </w:p>
    <w:p w14:paraId="57577245" w14:textId="77777777" w:rsidR="00367D55" w:rsidRPr="003B74A0" w:rsidRDefault="00367D55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367D55" w:rsidRPr="003B74A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4A0"/>
    <w:rsid w:val="00083C1E"/>
    <w:rsid w:val="00086E4A"/>
    <w:rsid w:val="00095925"/>
    <w:rsid w:val="00122A65"/>
    <w:rsid w:val="001816EC"/>
    <w:rsid w:val="00367D55"/>
    <w:rsid w:val="00392D69"/>
    <w:rsid w:val="003B56D2"/>
    <w:rsid w:val="003B74A0"/>
    <w:rsid w:val="00466860"/>
    <w:rsid w:val="00484F72"/>
    <w:rsid w:val="004A2FDB"/>
    <w:rsid w:val="004E6C27"/>
    <w:rsid w:val="0051398A"/>
    <w:rsid w:val="005A10F5"/>
    <w:rsid w:val="005D4E09"/>
    <w:rsid w:val="005E73F6"/>
    <w:rsid w:val="00677BFC"/>
    <w:rsid w:val="006F6718"/>
    <w:rsid w:val="00712615"/>
    <w:rsid w:val="007B152A"/>
    <w:rsid w:val="007B1B1A"/>
    <w:rsid w:val="007E1576"/>
    <w:rsid w:val="008113BE"/>
    <w:rsid w:val="008B4C90"/>
    <w:rsid w:val="00A162CA"/>
    <w:rsid w:val="00A17245"/>
    <w:rsid w:val="00A92B5C"/>
    <w:rsid w:val="00B14706"/>
    <w:rsid w:val="00C12A7C"/>
    <w:rsid w:val="00C56669"/>
    <w:rsid w:val="00C95479"/>
    <w:rsid w:val="00D33D11"/>
    <w:rsid w:val="00ED6929"/>
    <w:rsid w:val="00F07CEC"/>
    <w:rsid w:val="00F25A13"/>
    <w:rsid w:val="00F263C6"/>
    <w:rsid w:val="00F6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4E4C"/>
  <w15:docId w15:val="{AA3E01E7-53AE-492A-A7BD-8B39410D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7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4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4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7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74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74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74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7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7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7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7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7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7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7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7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74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74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74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7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74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74A0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484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84F72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484F72"/>
    <w:rPr>
      <w:color w:val="0563C1" w:themeColor="hyperlink"/>
      <w:u w:val="single"/>
    </w:rPr>
  </w:style>
  <w:style w:type="paragraph" w:customStyle="1" w:styleId="ConsPlusNormal">
    <w:name w:val="ConsPlusNormal"/>
    <w:uiPriority w:val="99"/>
    <w:rsid w:val="00484F72"/>
    <w:pPr>
      <w:widowControl w:val="0"/>
      <w:suppressAutoHyphens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val="ru-RU" w:eastAsia="ru-RU"/>
      <w14:ligatures w14:val="none"/>
    </w:rPr>
  </w:style>
  <w:style w:type="paragraph" w:customStyle="1" w:styleId="ConsPlusTitle">
    <w:name w:val="ConsPlusTitle"/>
    <w:uiPriority w:val="99"/>
    <w:rsid w:val="00484F72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val="ru-RU" w:eastAsia="ru-RU"/>
      <w14:ligatures w14:val="none"/>
    </w:rPr>
  </w:style>
  <w:style w:type="character" w:styleId="af">
    <w:name w:val="Unresolved Mention"/>
    <w:basedOn w:val="a0"/>
    <w:uiPriority w:val="99"/>
    <w:semiHidden/>
    <w:unhideWhenUsed/>
    <w:rsid w:val="00095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39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41579ADA7722726A9FBAB0A3281068551EFAC05DB11566FE0374C76B94DAA1512E74FDDD3389FC0AE3468F9EbBP4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C2F0A09FD09CACADDE2AA61BE5B25C3BA2C3B31D636F1E031BE299D49E253274B4DF0A915145F81726217B4573C53EE0E1CDFF672ADjAF6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bvesti.ru" TargetMode="External"/><Relationship Id="rId5" Type="http://schemas.openxmlformats.org/officeDocument/2006/relationships/hyperlink" Target="https://login.consultant.ru/link/?req=doc&amp;base=LAW&amp;n=520154&amp;dst=4921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Пчельникова ВВ.</dc:creator>
  <cp:keywords/>
  <dc:description/>
  <cp:lastModifiedBy>Ольга Федоровна</cp:lastModifiedBy>
  <cp:revision>25</cp:revision>
  <cp:lastPrinted>2026-01-14T11:46:00Z</cp:lastPrinted>
  <dcterms:created xsi:type="dcterms:W3CDTF">2025-12-17T17:17:00Z</dcterms:created>
  <dcterms:modified xsi:type="dcterms:W3CDTF">2026-01-19T11:43:00Z</dcterms:modified>
</cp:coreProperties>
</file>